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08A6FB2D">
      <w:pPr>
        <w:spacing w:before="62" w:after="62" w:line="560" w:lineRule="exact"/>
        <w:ind w:firstLine="0" w:firstLineChars="0"/>
        <w:rPr>
          <w:rFonts w:hint="eastAsia" w:ascii="黑体" w:hAnsi="黑体" w:eastAsia="黑体"/>
          <w:szCs w:val="32"/>
        </w:rPr>
      </w:pPr>
      <w:r>
        <w:drawing>
          <wp:anchor distT="0" distB="0" distL="114300" distR="114300" simplePos="0" relativeHeight="251660288" behindDoc="0" locked="0" layoutInCell="1" allowOverlap="1">
            <wp:simplePos x="0" y="0"/>
            <wp:positionH relativeFrom="column">
              <wp:posOffset>4124960</wp:posOffset>
            </wp:positionH>
            <wp:positionV relativeFrom="paragraph">
              <wp:posOffset>-764540</wp:posOffset>
            </wp:positionV>
            <wp:extent cx="2091055" cy="1246505"/>
            <wp:effectExtent l="0" t="0" r="12065" b="3175"/>
            <wp:wrapNone/>
            <wp:docPr id="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091055" cy="1246505"/>
                    </a:xfrm>
                    <a:prstGeom prst="rect">
                      <a:avLst/>
                    </a:prstGeom>
                  </pic:spPr>
                </pic:pic>
              </a:graphicData>
            </a:graphic>
          </wp:anchor>
        </w:drawing>
      </w:r>
      <w:r>
        <w:rPr>
          <w:rFonts w:hint="eastAsia" w:ascii="黑体" w:hAnsi="黑体" w:eastAsia="黑体"/>
          <w:szCs w:val="32"/>
        </w:rPr>
        <w:t>附件</w:t>
      </w:r>
    </w:p>
    <w:p w14:paraId="08FEA1A7">
      <w:pPr>
        <w:spacing w:before="62" w:after="62"/>
        <w:ind w:firstLine="640"/>
      </w:pPr>
    </w:p>
    <w:p w14:paraId="2B8C2EE7">
      <w:pPr>
        <w:widowControl/>
        <w:spacing w:before="0" w:beforeLines="0" w:after="0" w:afterLines="0" w:line="240" w:lineRule="auto"/>
        <w:ind w:firstLine="0" w:firstLineChars="0"/>
        <w:jc w:val="center"/>
        <w:rPr>
          <w:rFonts w:hint="eastAsia" w:ascii="仿宋" w:hAnsi="仿宋" w:eastAsia="仿宋" w:cs="仿宋"/>
          <w:b/>
          <w:bCs/>
          <w:kern w:val="0"/>
          <w:sz w:val="52"/>
          <w:szCs w:val="52"/>
          <w:lang w:bidi="ar"/>
        </w:rPr>
      </w:pPr>
    </w:p>
    <w:p w14:paraId="3BF02657">
      <w:pPr>
        <w:widowControl/>
        <w:spacing w:before="0" w:beforeLines="0" w:after="0" w:afterLines="0" w:line="240" w:lineRule="auto"/>
        <w:ind w:firstLine="0" w:firstLineChars="0"/>
        <w:jc w:val="center"/>
        <w:rPr>
          <w:rFonts w:hint="eastAsia" w:ascii="仿宋" w:hAnsi="仿宋" w:eastAsia="仿宋" w:cs="仿宋"/>
          <w:b/>
          <w:bCs/>
          <w:kern w:val="0"/>
          <w:sz w:val="52"/>
          <w:szCs w:val="52"/>
          <w:lang w:bidi="ar"/>
        </w:rPr>
      </w:pPr>
      <w:r>
        <w:rPr>
          <w:rFonts w:hint="eastAsia" w:ascii="仿宋" w:hAnsi="仿宋" w:eastAsia="仿宋" w:cs="仿宋"/>
          <w:b/>
          <w:bCs/>
          <w:kern w:val="0"/>
          <w:sz w:val="52"/>
          <w:szCs w:val="52"/>
          <w:lang w:bidi="ar"/>
        </w:rPr>
        <w:t>云南省职业院校技能大赛</w:t>
      </w:r>
    </w:p>
    <w:p w14:paraId="06FBA9F5">
      <w:pPr>
        <w:widowControl/>
        <w:spacing w:before="0" w:beforeLines="0" w:after="0" w:afterLines="0" w:line="240" w:lineRule="auto"/>
        <w:ind w:firstLine="0" w:firstLineChars="0"/>
        <w:jc w:val="center"/>
        <w:rPr>
          <w:rFonts w:hint="eastAsia" w:ascii="仿宋" w:hAnsi="仿宋" w:eastAsia="仿宋" w:cs="仿宋"/>
          <w:b/>
          <w:bCs/>
          <w:kern w:val="0"/>
          <w:sz w:val="52"/>
          <w:szCs w:val="52"/>
          <w:lang w:bidi="ar"/>
        </w:rPr>
      </w:pPr>
      <w:r>
        <w:rPr>
          <w:rFonts w:hint="eastAsia" w:ascii="仿宋" w:hAnsi="仿宋" w:eastAsia="仿宋" w:cs="仿宋"/>
          <w:b/>
          <w:bCs/>
          <w:kern w:val="0"/>
          <w:sz w:val="52"/>
          <w:szCs w:val="52"/>
          <w:lang w:bidi="ar"/>
        </w:rPr>
        <w:t>赛项规程</w:t>
      </w:r>
    </w:p>
    <w:p w14:paraId="7FB3C104">
      <w:pPr>
        <w:spacing w:before="62" w:after="62"/>
        <w:ind w:firstLine="640"/>
      </w:pPr>
    </w:p>
    <w:p w14:paraId="2E00AC51">
      <w:pPr>
        <w:spacing w:before="62" w:after="62"/>
        <w:ind w:firstLine="640"/>
      </w:pPr>
    </w:p>
    <w:p w14:paraId="6ADF6E9F">
      <w:pPr>
        <w:spacing w:before="62" w:after="62"/>
        <w:ind w:firstLine="640"/>
      </w:pPr>
    </w:p>
    <w:p w14:paraId="18A3C9BE">
      <w:pPr>
        <w:spacing w:before="62" w:after="62"/>
        <w:ind w:firstLine="640"/>
      </w:pPr>
    </w:p>
    <w:p w14:paraId="5E7F3ACA">
      <w:pPr>
        <w:spacing w:before="62" w:after="62"/>
        <w:ind w:firstLine="640"/>
      </w:pPr>
    </w:p>
    <w:p w14:paraId="51FF3D22">
      <w:pPr>
        <w:spacing w:before="62" w:after="62"/>
        <w:ind w:firstLine="640"/>
      </w:pPr>
      <w:r>
        <w:rPr>
          <w:rFonts w:hint="eastAsia"/>
        </w:rPr>
        <w:t>赛项名称：人工智能+</w:t>
      </w:r>
    </w:p>
    <w:p w14:paraId="47D934D1">
      <w:pPr>
        <w:spacing w:before="62" w:after="62"/>
        <w:ind w:firstLine="640"/>
      </w:pPr>
      <w:r>
        <w:rPr>
          <w:rFonts w:hint="eastAsia"/>
        </w:rPr>
        <w:t>英文名称：</w:t>
      </w:r>
      <w:r>
        <w:t>AI+</w:t>
      </w:r>
    </w:p>
    <w:p w14:paraId="72CC0C3E">
      <w:pPr>
        <w:spacing w:before="62" w:after="62"/>
        <w:ind w:firstLine="640"/>
      </w:pPr>
      <w:r>
        <w:rPr>
          <w:rFonts w:hint="eastAsia"/>
        </w:rPr>
        <w:t>赛项组别：高职组</w:t>
      </w:r>
    </w:p>
    <w:p w14:paraId="18FE89F5">
      <w:pPr>
        <w:spacing w:before="62" w:after="62"/>
        <w:ind w:firstLine="640"/>
      </w:pPr>
      <w:r>
        <w:rPr>
          <w:rFonts w:hint="eastAsia"/>
        </w:rPr>
        <w:t>赛项编号：人工智能赛道</w:t>
      </w:r>
    </w:p>
    <w:p w14:paraId="77FF30FA">
      <w:pPr>
        <w:spacing w:before="62" w:after="62"/>
        <w:ind w:firstLine="640"/>
      </w:pPr>
    </w:p>
    <w:p w14:paraId="1406D0C6">
      <w:pPr>
        <w:spacing w:before="62" w:after="62"/>
        <w:ind w:firstLine="640"/>
      </w:pPr>
    </w:p>
    <w:p w14:paraId="6483E969">
      <w:pPr>
        <w:spacing w:before="62" w:after="62"/>
        <w:ind w:firstLine="640"/>
      </w:pPr>
    </w:p>
    <w:p w14:paraId="339E44CD">
      <w:pPr>
        <w:spacing w:before="62" w:after="62"/>
        <w:ind w:firstLine="640"/>
      </w:pPr>
    </w:p>
    <w:p w14:paraId="59C23647">
      <w:pPr>
        <w:spacing w:before="62" w:after="62"/>
        <w:ind w:firstLine="640"/>
      </w:pPr>
    </w:p>
    <w:p w14:paraId="0AA9186A">
      <w:pPr>
        <w:spacing w:before="62" w:after="62"/>
        <w:ind w:firstLine="640"/>
      </w:pPr>
    </w:p>
    <w:p w14:paraId="141A4D16">
      <w:pPr>
        <w:spacing w:before="62" w:after="62"/>
        <w:ind w:firstLine="640"/>
      </w:pPr>
    </w:p>
    <w:p w14:paraId="500C0FC5">
      <w:pPr>
        <w:snapToGrid w:val="0"/>
        <w:spacing w:before="62" w:after="62" w:line="560" w:lineRule="exact"/>
        <w:ind w:firstLine="0" w:firstLineChars="0"/>
        <w:rPr>
          <w:sz w:val="30"/>
          <w:szCs w:val="30"/>
        </w:rPr>
      </w:pPr>
      <w:r>
        <w:rPr>
          <w:rFonts w:hint="eastAsia"/>
          <w:sz w:val="30"/>
          <w:szCs w:val="30"/>
        </w:rPr>
        <w:t>一、赛项信息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012"/>
        <w:gridCol w:w="1241"/>
        <w:gridCol w:w="4820"/>
      </w:tblGrid>
      <w:tr w14:paraId="36BD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14:paraId="79C5DD0B">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赛项类别</w:t>
            </w:r>
          </w:p>
        </w:tc>
      </w:tr>
      <w:tr w14:paraId="6378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14:paraId="2D244501">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sym w:font="Wingdings 2" w:char="F052"/>
            </w:r>
            <w:r>
              <w:rPr>
                <w:rFonts w:hint="eastAsia" w:ascii="仿宋" w:hAnsi="仿宋" w:eastAsia="仿宋" w:cs="仿宋"/>
                <w:sz w:val="24"/>
                <w:szCs w:val="24"/>
              </w:rPr>
              <w:t>每年赛  □隔年赛（□单数年/□双数年）</w:t>
            </w:r>
          </w:p>
        </w:tc>
      </w:tr>
      <w:tr w14:paraId="736D3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14:paraId="10B46401">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赛项组别</w:t>
            </w:r>
          </w:p>
        </w:tc>
      </w:tr>
      <w:tr w14:paraId="61CA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14:paraId="40A3AA56">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 xml:space="preserve">□中等职业教育   </w:t>
            </w:r>
            <w:r>
              <w:rPr>
                <w:rFonts w:hint="eastAsia" w:ascii="仿宋" w:hAnsi="仿宋" w:eastAsia="仿宋" w:cs="仿宋"/>
                <w:sz w:val="24"/>
                <w:szCs w:val="24"/>
              </w:rPr>
              <w:sym w:font="Wingdings 2" w:char="F052"/>
            </w:r>
            <w:r>
              <w:rPr>
                <w:rFonts w:hint="eastAsia" w:ascii="仿宋" w:hAnsi="仿宋" w:eastAsia="仿宋" w:cs="仿宋"/>
                <w:sz w:val="24"/>
                <w:szCs w:val="24"/>
              </w:rPr>
              <w:t>高等职业教育</w:t>
            </w:r>
          </w:p>
        </w:tc>
      </w:tr>
      <w:tr w14:paraId="6B4D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14:paraId="2EAE2EFF">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sym w:font="Wingdings 2" w:char="F052"/>
            </w:r>
            <w:r>
              <w:rPr>
                <w:rFonts w:hint="eastAsia" w:ascii="仿宋" w:hAnsi="仿宋" w:eastAsia="仿宋" w:cs="仿宋"/>
                <w:sz w:val="24"/>
                <w:szCs w:val="24"/>
              </w:rPr>
              <w:t>学生赛（□个人/</w:t>
            </w:r>
            <w:r>
              <w:rPr>
                <w:rFonts w:hint="eastAsia" w:ascii="仿宋" w:hAnsi="仿宋" w:eastAsia="仿宋" w:cs="仿宋"/>
                <w:sz w:val="24"/>
                <w:szCs w:val="24"/>
              </w:rPr>
              <w:sym w:font="Wingdings 2" w:char="F052"/>
            </w:r>
            <w:r>
              <w:rPr>
                <w:rFonts w:hint="eastAsia" w:ascii="仿宋" w:hAnsi="仿宋" w:eastAsia="仿宋" w:cs="仿宋"/>
                <w:sz w:val="24"/>
                <w:szCs w:val="24"/>
              </w:rPr>
              <w:t>团体） □师生同赛 □教师赛</w:t>
            </w:r>
          </w:p>
        </w:tc>
      </w:tr>
      <w:tr w14:paraId="3060E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14:paraId="1D06FE92">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涉及专业大类、专业类、专业及核心课程</w:t>
            </w:r>
          </w:p>
        </w:tc>
      </w:tr>
      <w:tr w14:paraId="26B2B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8" w:type="dxa"/>
            <w:vAlign w:val="center"/>
          </w:tcPr>
          <w:p w14:paraId="1083366B">
            <w:pPr>
              <w:spacing w:before="0" w:beforeLines="0" w:after="0" w:afterLines="0" w:line="240" w:lineRule="auto"/>
              <w:ind w:firstLine="0" w:firstLineChars="0"/>
              <w:jc w:val="center"/>
              <w:rPr>
                <w:sz w:val="24"/>
                <w:szCs w:val="24"/>
              </w:rPr>
            </w:pPr>
            <w:r>
              <w:rPr>
                <w:rFonts w:hint="eastAsia"/>
                <w:sz w:val="24"/>
                <w:szCs w:val="24"/>
              </w:rPr>
              <w:t>专业大类</w:t>
            </w:r>
          </w:p>
        </w:tc>
        <w:tc>
          <w:tcPr>
            <w:tcW w:w="1012" w:type="dxa"/>
            <w:vAlign w:val="center"/>
          </w:tcPr>
          <w:p w14:paraId="14CB6896">
            <w:pPr>
              <w:spacing w:before="0" w:beforeLines="0" w:after="0" w:afterLines="0" w:line="240" w:lineRule="auto"/>
              <w:ind w:firstLine="0" w:firstLineChars="0"/>
              <w:jc w:val="center"/>
              <w:rPr>
                <w:sz w:val="24"/>
                <w:szCs w:val="24"/>
              </w:rPr>
            </w:pPr>
            <w:r>
              <w:rPr>
                <w:rFonts w:hint="eastAsia"/>
                <w:sz w:val="24"/>
                <w:szCs w:val="24"/>
              </w:rPr>
              <w:t>专业类</w:t>
            </w:r>
          </w:p>
        </w:tc>
        <w:tc>
          <w:tcPr>
            <w:tcW w:w="1241" w:type="dxa"/>
            <w:vAlign w:val="center"/>
          </w:tcPr>
          <w:p w14:paraId="5A78016E">
            <w:pPr>
              <w:spacing w:before="0" w:beforeLines="0" w:after="0" w:afterLines="0" w:line="240" w:lineRule="auto"/>
              <w:ind w:firstLine="0" w:firstLineChars="0"/>
              <w:rPr>
                <w:sz w:val="24"/>
                <w:szCs w:val="24"/>
              </w:rPr>
            </w:pPr>
            <w:r>
              <w:rPr>
                <w:rFonts w:hint="eastAsia"/>
                <w:sz w:val="24"/>
                <w:szCs w:val="24"/>
              </w:rPr>
              <w:t>专业名称</w:t>
            </w:r>
          </w:p>
        </w:tc>
        <w:tc>
          <w:tcPr>
            <w:tcW w:w="4820" w:type="dxa"/>
            <w:vAlign w:val="center"/>
          </w:tcPr>
          <w:p w14:paraId="48DBC8FB">
            <w:pPr>
              <w:spacing w:before="0" w:beforeLines="0" w:after="0" w:afterLines="0" w:line="240" w:lineRule="auto"/>
              <w:ind w:firstLine="480"/>
              <w:jc w:val="center"/>
              <w:rPr>
                <w:sz w:val="24"/>
                <w:szCs w:val="24"/>
              </w:rPr>
            </w:pPr>
            <w:r>
              <w:rPr>
                <w:rFonts w:hint="eastAsia"/>
                <w:sz w:val="24"/>
                <w:szCs w:val="24"/>
              </w:rPr>
              <w:t>核心课程</w:t>
            </w:r>
          </w:p>
          <w:p w14:paraId="32BA0DDD">
            <w:pPr>
              <w:spacing w:before="0" w:beforeLines="0" w:after="0" w:afterLines="0" w:line="240" w:lineRule="auto"/>
              <w:ind w:firstLine="480"/>
              <w:jc w:val="center"/>
              <w:rPr>
                <w:sz w:val="24"/>
                <w:szCs w:val="24"/>
              </w:rPr>
            </w:pPr>
            <w:r>
              <w:rPr>
                <w:rFonts w:hint="eastAsia"/>
                <w:sz w:val="24"/>
                <w:szCs w:val="24"/>
              </w:rPr>
              <w:t>（对应每个专业，明确涉及的专业核心课程）</w:t>
            </w:r>
          </w:p>
        </w:tc>
      </w:tr>
      <w:tr w14:paraId="25C30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258" w:type="dxa"/>
            <w:vMerge w:val="restart"/>
            <w:vAlign w:val="center"/>
          </w:tcPr>
          <w:p w14:paraId="315B9DA0">
            <w:pPr>
              <w:spacing w:before="0" w:beforeLines="0" w:after="0" w:afterLines="0" w:line="240" w:lineRule="auto"/>
              <w:ind w:firstLine="0" w:firstLineChars="0"/>
              <w:rPr>
                <w:sz w:val="24"/>
                <w:szCs w:val="24"/>
              </w:rPr>
            </w:pPr>
            <w:r>
              <w:rPr>
                <w:rFonts w:hint="eastAsia"/>
                <w:sz w:val="24"/>
                <w:szCs w:val="24"/>
              </w:rPr>
              <w:t>不限制专业大类</w:t>
            </w:r>
          </w:p>
        </w:tc>
        <w:tc>
          <w:tcPr>
            <w:tcW w:w="1012" w:type="dxa"/>
            <w:vMerge w:val="restart"/>
            <w:vAlign w:val="center"/>
          </w:tcPr>
          <w:p w14:paraId="22BAC849">
            <w:pPr>
              <w:spacing w:before="0" w:beforeLines="0" w:after="0" w:afterLines="0" w:line="240" w:lineRule="auto"/>
              <w:ind w:firstLine="0" w:firstLineChars="0"/>
              <w:rPr>
                <w:sz w:val="24"/>
                <w:szCs w:val="24"/>
              </w:rPr>
            </w:pPr>
            <w:r>
              <w:rPr>
                <w:rFonts w:hint="eastAsia"/>
                <w:sz w:val="24"/>
                <w:szCs w:val="24"/>
              </w:rPr>
              <w:t>不限制专业类</w:t>
            </w:r>
          </w:p>
        </w:tc>
        <w:tc>
          <w:tcPr>
            <w:tcW w:w="1241" w:type="dxa"/>
            <w:vMerge w:val="restart"/>
            <w:vAlign w:val="center"/>
          </w:tcPr>
          <w:p w14:paraId="72A26518">
            <w:pPr>
              <w:spacing w:before="0" w:beforeLines="0" w:after="0" w:afterLines="0" w:line="240" w:lineRule="auto"/>
              <w:ind w:firstLine="0" w:firstLineChars="0"/>
              <w:rPr>
                <w:sz w:val="24"/>
                <w:szCs w:val="24"/>
              </w:rPr>
            </w:pPr>
            <w:r>
              <w:rPr>
                <w:rFonts w:hint="eastAsia"/>
                <w:sz w:val="24"/>
                <w:szCs w:val="24"/>
              </w:rPr>
              <w:t>/</w:t>
            </w:r>
          </w:p>
        </w:tc>
        <w:tc>
          <w:tcPr>
            <w:tcW w:w="4820" w:type="dxa"/>
            <w:vAlign w:val="center"/>
          </w:tcPr>
          <w:p w14:paraId="5B0D3BFC">
            <w:pPr>
              <w:spacing w:before="0" w:beforeLines="0" w:after="0" w:afterLines="0" w:line="240" w:lineRule="auto"/>
              <w:ind w:firstLine="480"/>
              <w:jc w:val="center"/>
              <w:rPr>
                <w:sz w:val="24"/>
                <w:szCs w:val="24"/>
                <w:highlight w:val="yellow"/>
              </w:rPr>
            </w:pPr>
            <w:r>
              <w:rPr>
                <w:rFonts w:ascii="仿宋" w:hAnsi="仿宋" w:eastAsia="仿宋" w:cs="仿宋"/>
                <w:sz w:val="24"/>
                <w:szCs w:val="24"/>
              </w:rPr>
              <w:t>/</w:t>
            </w:r>
          </w:p>
        </w:tc>
      </w:tr>
      <w:tr w14:paraId="2F1DA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8" w:type="dxa"/>
            <w:vMerge w:val="continue"/>
            <w:vAlign w:val="center"/>
          </w:tcPr>
          <w:p w14:paraId="46C4C361">
            <w:pPr>
              <w:spacing w:before="0" w:beforeLines="0" w:after="0" w:afterLines="0" w:line="240" w:lineRule="auto"/>
              <w:ind w:firstLine="480"/>
              <w:jc w:val="center"/>
              <w:rPr>
                <w:sz w:val="24"/>
                <w:szCs w:val="24"/>
                <w:highlight w:val="yellow"/>
              </w:rPr>
            </w:pPr>
          </w:p>
        </w:tc>
        <w:tc>
          <w:tcPr>
            <w:tcW w:w="1012" w:type="dxa"/>
            <w:vMerge w:val="continue"/>
            <w:vAlign w:val="center"/>
          </w:tcPr>
          <w:p w14:paraId="05883164">
            <w:pPr>
              <w:spacing w:before="0" w:beforeLines="0" w:after="0" w:afterLines="0" w:line="240" w:lineRule="auto"/>
              <w:ind w:firstLine="480"/>
              <w:jc w:val="center"/>
              <w:rPr>
                <w:sz w:val="24"/>
                <w:szCs w:val="24"/>
                <w:highlight w:val="yellow"/>
              </w:rPr>
            </w:pPr>
          </w:p>
        </w:tc>
        <w:tc>
          <w:tcPr>
            <w:tcW w:w="1241" w:type="dxa"/>
            <w:vMerge w:val="continue"/>
            <w:vAlign w:val="center"/>
          </w:tcPr>
          <w:p w14:paraId="54DB71F0">
            <w:pPr>
              <w:spacing w:before="0" w:beforeLines="0" w:after="0" w:afterLines="0" w:line="240" w:lineRule="auto"/>
              <w:ind w:firstLine="480"/>
              <w:jc w:val="center"/>
              <w:rPr>
                <w:sz w:val="24"/>
                <w:szCs w:val="24"/>
                <w:highlight w:val="yellow"/>
              </w:rPr>
            </w:pPr>
          </w:p>
        </w:tc>
        <w:tc>
          <w:tcPr>
            <w:tcW w:w="4820" w:type="dxa"/>
            <w:vAlign w:val="center"/>
          </w:tcPr>
          <w:p w14:paraId="01AEEF44">
            <w:pPr>
              <w:spacing w:before="0" w:beforeLines="0" w:after="0" w:afterLines="0" w:line="240" w:lineRule="auto"/>
              <w:ind w:firstLine="480"/>
              <w:jc w:val="center"/>
              <w:rPr>
                <w:sz w:val="24"/>
                <w:szCs w:val="24"/>
                <w:highlight w:val="yellow"/>
              </w:rPr>
            </w:pPr>
            <w:r>
              <w:rPr>
                <w:rFonts w:ascii="仿宋" w:hAnsi="仿宋" w:eastAsia="仿宋" w:cs="仿宋"/>
                <w:sz w:val="24"/>
                <w:szCs w:val="24"/>
              </w:rPr>
              <w:t>/</w:t>
            </w:r>
          </w:p>
        </w:tc>
      </w:tr>
      <w:tr w14:paraId="6118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8" w:type="dxa"/>
            <w:vMerge w:val="continue"/>
            <w:vAlign w:val="center"/>
          </w:tcPr>
          <w:p w14:paraId="1F882E3A">
            <w:pPr>
              <w:spacing w:before="0" w:beforeLines="0" w:after="0" w:afterLines="0" w:line="240" w:lineRule="auto"/>
              <w:ind w:firstLine="480"/>
              <w:jc w:val="center"/>
              <w:rPr>
                <w:sz w:val="24"/>
                <w:szCs w:val="24"/>
                <w:highlight w:val="yellow"/>
              </w:rPr>
            </w:pPr>
          </w:p>
        </w:tc>
        <w:tc>
          <w:tcPr>
            <w:tcW w:w="1012" w:type="dxa"/>
            <w:vMerge w:val="continue"/>
            <w:vAlign w:val="center"/>
          </w:tcPr>
          <w:p w14:paraId="46622F60">
            <w:pPr>
              <w:spacing w:before="0" w:beforeLines="0" w:after="0" w:afterLines="0" w:line="240" w:lineRule="auto"/>
              <w:ind w:firstLine="480"/>
              <w:jc w:val="center"/>
              <w:rPr>
                <w:sz w:val="24"/>
                <w:szCs w:val="24"/>
                <w:highlight w:val="yellow"/>
              </w:rPr>
            </w:pPr>
          </w:p>
        </w:tc>
        <w:tc>
          <w:tcPr>
            <w:tcW w:w="1241" w:type="dxa"/>
            <w:vMerge w:val="continue"/>
            <w:vAlign w:val="center"/>
          </w:tcPr>
          <w:p w14:paraId="3FC05A94">
            <w:pPr>
              <w:spacing w:before="0" w:beforeLines="0" w:after="0" w:afterLines="0" w:line="240" w:lineRule="auto"/>
              <w:ind w:firstLine="480"/>
              <w:jc w:val="center"/>
              <w:rPr>
                <w:sz w:val="24"/>
                <w:szCs w:val="24"/>
                <w:highlight w:val="yellow"/>
              </w:rPr>
            </w:pPr>
          </w:p>
        </w:tc>
        <w:tc>
          <w:tcPr>
            <w:tcW w:w="4820" w:type="dxa"/>
            <w:vAlign w:val="center"/>
          </w:tcPr>
          <w:p w14:paraId="515FBE66">
            <w:pPr>
              <w:spacing w:before="0" w:beforeLines="0" w:after="0" w:afterLines="0" w:line="240" w:lineRule="auto"/>
              <w:ind w:firstLine="480"/>
              <w:jc w:val="center"/>
              <w:rPr>
                <w:rFonts w:hint="eastAsia" w:ascii="仿宋" w:hAnsi="仿宋" w:eastAsia="仿宋" w:cs="仿宋"/>
                <w:sz w:val="24"/>
                <w:szCs w:val="24"/>
                <w:highlight w:val="yellow"/>
              </w:rPr>
            </w:pPr>
            <w:r>
              <w:rPr>
                <w:rFonts w:ascii="仿宋" w:hAnsi="仿宋" w:eastAsia="仿宋" w:cs="仿宋"/>
                <w:sz w:val="24"/>
                <w:szCs w:val="24"/>
              </w:rPr>
              <w:t>/</w:t>
            </w:r>
          </w:p>
        </w:tc>
      </w:tr>
      <w:tr w14:paraId="47E20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14:paraId="79442F93">
            <w:pPr>
              <w:spacing w:before="0" w:beforeLines="0" w:after="0" w:afterLines="0" w:line="240" w:lineRule="auto"/>
              <w:ind w:firstLine="480"/>
              <w:jc w:val="center"/>
              <w:rPr>
                <w:sz w:val="24"/>
                <w:szCs w:val="24"/>
              </w:rPr>
            </w:pPr>
            <w:r>
              <w:rPr>
                <w:rFonts w:hint="eastAsia"/>
                <w:sz w:val="24"/>
                <w:szCs w:val="24"/>
              </w:rPr>
              <w:t>对接产业行业、对应岗位（群）及核心能力</w:t>
            </w:r>
          </w:p>
        </w:tc>
      </w:tr>
      <w:tr w14:paraId="42F5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8" w:type="dxa"/>
            <w:vAlign w:val="center"/>
          </w:tcPr>
          <w:p w14:paraId="443E0ADB">
            <w:pPr>
              <w:spacing w:before="0" w:beforeLines="0" w:after="0" w:afterLines="0" w:line="240" w:lineRule="auto"/>
              <w:ind w:firstLine="0" w:firstLineChars="0"/>
              <w:jc w:val="center"/>
              <w:rPr>
                <w:sz w:val="24"/>
                <w:szCs w:val="24"/>
              </w:rPr>
            </w:pPr>
            <w:r>
              <w:rPr>
                <w:rFonts w:hint="eastAsia"/>
                <w:sz w:val="24"/>
                <w:szCs w:val="24"/>
              </w:rPr>
              <w:t>产业行业</w:t>
            </w:r>
          </w:p>
        </w:tc>
        <w:tc>
          <w:tcPr>
            <w:tcW w:w="2253" w:type="dxa"/>
            <w:gridSpan w:val="2"/>
            <w:vAlign w:val="center"/>
          </w:tcPr>
          <w:p w14:paraId="1B335784">
            <w:pPr>
              <w:spacing w:before="0" w:beforeLines="0" w:after="0" w:afterLines="0" w:line="240" w:lineRule="auto"/>
              <w:ind w:firstLine="0" w:firstLineChars="0"/>
              <w:jc w:val="center"/>
              <w:rPr>
                <w:sz w:val="24"/>
                <w:szCs w:val="24"/>
              </w:rPr>
            </w:pPr>
            <w:r>
              <w:rPr>
                <w:rFonts w:hint="eastAsia"/>
                <w:sz w:val="24"/>
                <w:szCs w:val="24"/>
              </w:rPr>
              <w:t>岗位（群）</w:t>
            </w:r>
          </w:p>
        </w:tc>
        <w:tc>
          <w:tcPr>
            <w:tcW w:w="4820" w:type="dxa"/>
            <w:vAlign w:val="center"/>
          </w:tcPr>
          <w:p w14:paraId="1BB12245">
            <w:pPr>
              <w:spacing w:before="0" w:beforeLines="0" w:after="0" w:afterLines="0" w:line="240" w:lineRule="auto"/>
              <w:ind w:firstLine="0" w:firstLineChars="0"/>
              <w:jc w:val="center"/>
              <w:rPr>
                <w:sz w:val="24"/>
                <w:szCs w:val="24"/>
              </w:rPr>
            </w:pPr>
            <w:r>
              <w:rPr>
                <w:rFonts w:hint="eastAsia"/>
                <w:sz w:val="24"/>
                <w:szCs w:val="24"/>
              </w:rPr>
              <w:t>核心能力</w:t>
            </w:r>
          </w:p>
          <w:p w14:paraId="757C7732">
            <w:pPr>
              <w:spacing w:before="0" w:beforeLines="0" w:after="0" w:afterLines="0" w:line="240" w:lineRule="auto"/>
              <w:ind w:firstLine="0" w:firstLineChars="0"/>
              <w:jc w:val="center"/>
              <w:rPr>
                <w:sz w:val="24"/>
                <w:szCs w:val="24"/>
              </w:rPr>
            </w:pPr>
            <w:r>
              <w:rPr>
                <w:rFonts w:hint="eastAsia"/>
                <w:sz w:val="24"/>
                <w:szCs w:val="24"/>
              </w:rPr>
              <w:t>（对应每个岗位（群），明确核心能力要求）</w:t>
            </w:r>
          </w:p>
        </w:tc>
      </w:tr>
      <w:tr w14:paraId="0B98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258" w:type="dxa"/>
            <w:vAlign w:val="center"/>
          </w:tcPr>
          <w:p w14:paraId="67EC1BDC">
            <w:pPr>
              <w:spacing w:before="0" w:beforeLines="0" w:after="0" w:afterLines="0" w:line="240" w:lineRule="auto"/>
              <w:ind w:firstLine="0" w:firstLineChars="0"/>
              <w:rPr>
                <w:sz w:val="20"/>
                <w:szCs w:val="24"/>
              </w:rPr>
            </w:pPr>
            <w:r>
              <w:rPr>
                <w:rFonts w:ascii="仿宋" w:hAnsi="仿宋" w:eastAsia="仿宋" w:cs="仿宋"/>
                <w:sz w:val="20"/>
                <w:szCs w:val="24"/>
              </w:rPr>
              <w:t>/</w:t>
            </w:r>
          </w:p>
        </w:tc>
        <w:tc>
          <w:tcPr>
            <w:tcW w:w="2253" w:type="dxa"/>
            <w:gridSpan w:val="2"/>
            <w:vAlign w:val="center"/>
          </w:tcPr>
          <w:p w14:paraId="67F5ACAC">
            <w:pPr>
              <w:spacing w:before="62" w:after="62" w:line="240" w:lineRule="auto"/>
              <w:ind w:firstLine="0" w:firstLineChars="0"/>
              <w:rPr>
                <w:rFonts w:hint="eastAsia" w:ascii="仿宋" w:hAnsi="仿宋" w:eastAsia="仿宋" w:cs="仿宋"/>
                <w:sz w:val="20"/>
              </w:rPr>
            </w:pPr>
            <w:r>
              <w:rPr>
                <w:rFonts w:ascii="仿宋" w:hAnsi="仿宋" w:eastAsia="仿宋" w:cs="仿宋"/>
                <w:sz w:val="20"/>
                <w:szCs w:val="24"/>
              </w:rPr>
              <w:t>/</w:t>
            </w:r>
          </w:p>
        </w:tc>
        <w:tc>
          <w:tcPr>
            <w:tcW w:w="4820" w:type="dxa"/>
            <w:vAlign w:val="center"/>
          </w:tcPr>
          <w:p w14:paraId="56EE35F3">
            <w:pPr>
              <w:spacing w:before="62" w:after="62" w:line="240" w:lineRule="auto"/>
              <w:ind w:firstLine="0" w:firstLineChars="0"/>
              <w:rPr>
                <w:sz w:val="20"/>
                <w:szCs w:val="24"/>
              </w:rPr>
            </w:pPr>
            <w:r>
              <w:rPr>
                <w:rFonts w:ascii="仿宋" w:hAnsi="仿宋" w:eastAsia="仿宋" w:cs="仿宋"/>
                <w:sz w:val="20"/>
                <w:szCs w:val="24"/>
              </w:rPr>
              <w:t>/</w:t>
            </w:r>
          </w:p>
        </w:tc>
      </w:tr>
    </w:tbl>
    <w:p w14:paraId="74B087A5">
      <w:pPr>
        <w:snapToGrid w:val="0"/>
        <w:spacing w:before="62" w:after="62" w:line="560" w:lineRule="exact"/>
        <w:ind w:firstLine="0" w:firstLineChars="0"/>
        <w:rPr>
          <w:sz w:val="30"/>
          <w:szCs w:val="30"/>
        </w:rPr>
      </w:pPr>
    </w:p>
    <w:p w14:paraId="3350C692">
      <w:pPr>
        <w:pageBreakBefore/>
        <w:snapToGrid w:val="0"/>
        <w:spacing w:before="62" w:after="62" w:line="560" w:lineRule="exact"/>
        <w:ind w:firstLine="0" w:firstLineChars="0"/>
        <w:rPr>
          <w:sz w:val="30"/>
          <w:szCs w:val="30"/>
        </w:rPr>
      </w:pPr>
      <w:r>
        <w:rPr>
          <w:rFonts w:hint="eastAsia"/>
          <w:sz w:val="30"/>
          <w:szCs w:val="30"/>
        </w:rPr>
        <w:t>二、竞赛目标</w:t>
      </w:r>
    </w:p>
    <w:tbl>
      <w:tblPr>
        <w:tblStyle w:val="5"/>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14:paraId="457BC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2" w:hRule="atLeast"/>
        </w:trPr>
        <w:tc>
          <w:tcPr>
            <w:tcW w:w="8319" w:type="dxa"/>
          </w:tcPr>
          <w:p w14:paraId="3CDE8BCE">
            <w:pPr>
              <w:spacing w:before="62" w:after="62"/>
              <w:ind w:firstLine="480"/>
              <w:rPr>
                <w:rFonts w:hint="eastAsia" w:ascii="仿宋" w:hAnsi="仿宋" w:eastAsia="仿宋" w:cs="宋体"/>
                <w:sz w:val="24"/>
                <w:szCs w:val="24"/>
              </w:rPr>
            </w:pPr>
            <w:r>
              <w:rPr>
                <w:rFonts w:hint="eastAsia" w:ascii="仿宋" w:hAnsi="仿宋" w:eastAsia="仿宋" w:cs="宋体"/>
                <w:sz w:val="24"/>
                <w:szCs w:val="24"/>
              </w:rPr>
              <w:t>习近平总书记指出：“人工智能是新一轮科技革命和产业变革的重要驱动力量，要促进人工智能同经济社会发展深度融合，推动我国新一代人工智能健康发展”。党的二十大报告中强调，推动战略性新兴产业融合集群发展，构建人工智能等一批新的增长引擎，加快发展数字经济，促进数字经济和实体经济深度融合。人工智能作为新兴数字产业，呈现出深度学习、跨界融合、人机协同、高度创新、群智开放等新特征，在各行业不断催生着新产业、新模式、新业态，在推动国家经济体系技术变革、重构数字产业体系中发挥了重要作用。</w:t>
            </w:r>
          </w:p>
          <w:p w14:paraId="40A64397">
            <w:pPr>
              <w:spacing w:before="62" w:after="62"/>
              <w:ind w:firstLine="480"/>
              <w:rPr>
                <w:rFonts w:hint="eastAsia" w:ascii="仿宋" w:hAnsi="仿宋" w:eastAsia="仿宋" w:cs="黑体"/>
                <w:sz w:val="24"/>
                <w:szCs w:val="24"/>
              </w:rPr>
            </w:pPr>
            <w:r>
              <w:rPr>
                <w:rFonts w:hint="eastAsia" w:ascii="仿宋" w:hAnsi="仿宋" w:eastAsia="仿宋" w:cs="宋体"/>
                <w:sz w:val="24"/>
                <w:szCs w:val="24"/>
              </w:rPr>
              <w:t>“人工智能+”赛项围绕人工智能技术在实际产业应用中的岗位技能要求而设计，赛项内容覆盖了人工智能数字产业主流技术方向，符合《职业教育专业目录》中“人工智能技术应用”专业设置要求，深入贯彻落实《关于推动现代职业教育高质量发展的意见》中提出的推动高等职业学校专业设置、课程内容、教学方式与生产实践对接；符合《新一代人工智能发展规划》要求：推动产教深度融合,持续提高职业教育服务国家经济方式、调整战略目标的能力，充分展示职教成果，发挥技能竞赛的引领作用，提升高等职业学校学生的职业能力。通过本次比赛将推动电子信息类、人工智能类专业课程建设与改革，促进高职人工智能技术应用专业建设与教学改革，达到“以赛促教、以赛促学、以赛促改”目的，同时促进职教双师型教师队伍建设，加强了高职院校与人工智能产业的衔接以及与相关企业的合作，更好地实现工学结合的人才培养模式，为人工智能行业培养高素质的技能型人才，引领职业教育教学改革新方向。</w:t>
            </w:r>
          </w:p>
        </w:tc>
      </w:tr>
    </w:tbl>
    <w:p w14:paraId="383FC152">
      <w:pPr>
        <w:snapToGrid w:val="0"/>
        <w:spacing w:before="62" w:after="62" w:line="560" w:lineRule="exact"/>
        <w:ind w:firstLine="0" w:firstLineChars="0"/>
        <w:rPr>
          <w:sz w:val="30"/>
          <w:szCs w:val="30"/>
        </w:rPr>
      </w:pPr>
      <w:r>
        <w:rPr>
          <w:rFonts w:hint="eastAsia"/>
          <w:sz w:val="30"/>
          <w:szCs w:val="30"/>
        </w:rPr>
        <w:t>三、竞赛内容</w:t>
      </w:r>
    </w:p>
    <w:tbl>
      <w:tblPr>
        <w:tblStyle w:val="5"/>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930"/>
        <w:gridCol w:w="1052"/>
        <w:gridCol w:w="2781"/>
        <w:gridCol w:w="1226"/>
        <w:gridCol w:w="576"/>
        <w:gridCol w:w="28"/>
        <w:gridCol w:w="628"/>
      </w:tblGrid>
      <w:tr w14:paraId="4B00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8" w:type="dxa"/>
            <w:gridSpan w:val="8"/>
          </w:tcPr>
          <w:p w14:paraId="00E84A39">
            <w:pPr>
              <w:spacing w:before="62" w:after="62" w:line="600" w:lineRule="exact"/>
              <w:ind w:firstLine="480"/>
              <w:rPr>
                <w:rFonts w:hint="eastAsia" w:ascii="黑体" w:hAnsi="黑体" w:eastAsia="黑体" w:cs="黑体"/>
                <w:sz w:val="24"/>
                <w:szCs w:val="24"/>
              </w:rPr>
            </w:pPr>
            <w:r>
              <w:rPr>
                <w:rFonts w:hint="eastAsia" w:ascii="黑体" w:hAnsi="黑体" w:eastAsia="黑体" w:cs="黑体"/>
                <w:sz w:val="24"/>
                <w:szCs w:val="24"/>
              </w:rPr>
              <w:t>（一）赛项考查的技术技能和涵盖的职业典型工作任务</w:t>
            </w:r>
          </w:p>
          <w:p w14:paraId="6A74219B">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赛项主要考察计算机视觉、自然语言处理等人工智能技术应用相关领域职业能力。本项目要求选手根据竞赛题目进行业务需求分析，基于人工智能竞赛平台通过云端算力实施数据预处理、模型训练、模型评估、模型部署、</w:t>
            </w:r>
            <w:r>
              <w:rPr>
                <w:rFonts w:ascii="仿宋" w:hAnsi="仿宋" w:eastAsia="仿宋" w:cs="宋体"/>
                <w:sz w:val="24"/>
                <w:szCs w:val="24"/>
              </w:rPr>
              <w:t>AI</w:t>
            </w:r>
            <w:r>
              <w:rPr>
                <w:rFonts w:hint="eastAsia" w:ascii="仿宋" w:hAnsi="仿宋" w:eastAsia="仿宋" w:cs="宋体"/>
                <w:sz w:val="24"/>
                <w:szCs w:val="24"/>
              </w:rPr>
              <w:t>应用开发等企业级工作任务，考察选手的人工智能技术应用综合职业能力。</w:t>
            </w:r>
          </w:p>
          <w:p w14:paraId="06FAD07F">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本赛项分为“指定项目”（技能操作+展示讲解）、“自选项目”（</w:t>
            </w:r>
            <w:r>
              <w:rPr>
                <w:rFonts w:hint="eastAsia"/>
                <w:bCs/>
                <w:color w:val="000000"/>
                <w:sz w:val="24"/>
              </w:rPr>
              <w:t>现场展示）两</w:t>
            </w:r>
            <w:r>
              <w:rPr>
                <w:rFonts w:hint="eastAsia" w:ascii="仿宋" w:hAnsi="仿宋" w:eastAsia="仿宋" w:cs="宋体"/>
                <w:sz w:val="24"/>
                <w:szCs w:val="24"/>
              </w:rPr>
              <w:t>个部分。</w:t>
            </w:r>
          </w:p>
          <w:p w14:paraId="7FE145AC">
            <w:pPr>
              <w:widowControl/>
              <w:snapToGrid w:val="0"/>
              <w:spacing w:before="62" w:after="62" w:line="560" w:lineRule="exact"/>
              <w:ind w:firstLine="482"/>
              <w:rPr>
                <w:rFonts w:ascii="仿宋" w:hAnsi="仿宋" w:eastAsia="仿宋" w:cs="宋体"/>
                <w:b/>
                <w:bCs/>
                <w:sz w:val="24"/>
                <w:szCs w:val="24"/>
              </w:rPr>
            </w:pPr>
            <w:r>
              <w:rPr>
                <w:rFonts w:hint="eastAsia" w:ascii="仿宋" w:hAnsi="仿宋" w:eastAsia="仿宋" w:cs="宋体"/>
                <w:b/>
                <w:bCs/>
                <w:sz w:val="24"/>
                <w:szCs w:val="24"/>
                <w:lang w:val="en-US" w:eastAsia="zh-CN"/>
              </w:rPr>
              <w:t>指</w:t>
            </w:r>
            <w:r>
              <w:rPr>
                <w:rFonts w:hint="eastAsia" w:ascii="仿宋" w:hAnsi="仿宋" w:eastAsia="仿宋" w:cs="宋体"/>
                <w:b/>
                <w:bCs/>
                <w:sz w:val="24"/>
                <w:szCs w:val="24"/>
              </w:rPr>
              <w:t>定项目中“技能操作”+“展示讲解”部分占总成绩的50%；</w:t>
            </w:r>
          </w:p>
          <w:p w14:paraId="440F6C2A">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“技能操作”涵盖的职业典型工作分为三个模块，模块A是数据采集与预处理，占此模块成绩的20%；模块B是模型训练与评估，占此模块成绩30%；模块C是AI应用系统开发，占此模块成绩的40%；</w:t>
            </w:r>
          </w:p>
          <w:p w14:paraId="1EB55496">
            <w:pPr>
              <w:widowControl/>
              <w:snapToGrid w:val="0"/>
              <w:spacing w:before="62" w:after="62" w:line="560" w:lineRule="exact"/>
              <w:ind w:firstLine="480"/>
              <w:rPr>
                <w:rFonts w:ascii="仿宋" w:hAnsi="仿宋" w:eastAsia="仿宋" w:cs="宋体"/>
                <w:sz w:val="24"/>
                <w:szCs w:val="24"/>
              </w:rPr>
            </w:pPr>
            <w:r>
              <w:rPr>
                <w:rFonts w:hint="eastAsia" w:ascii="仿宋" w:hAnsi="仿宋" w:eastAsia="仿宋" w:cs="宋体"/>
                <w:sz w:val="24"/>
                <w:szCs w:val="24"/>
              </w:rPr>
              <w:t>“展示讲解”部分选手基于“技能操作”部分内容进行项目设计，进行现场展示讲解，介绍总体思路、技能要点、主要成果、项目创新等；</w:t>
            </w:r>
          </w:p>
          <w:p w14:paraId="3D124A8B">
            <w:pPr>
              <w:widowControl/>
              <w:snapToGrid w:val="0"/>
              <w:spacing w:before="62" w:after="62" w:line="560" w:lineRule="exact"/>
              <w:ind w:firstLine="482"/>
              <w:rPr>
                <w:rFonts w:hint="eastAsia" w:ascii="仿宋" w:hAnsi="仿宋" w:eastAsia="仿宋" w:cs="宋体"/>
                <w:b/>
                <w:bCs/>
                <w:sz w:val="24"/>
                <w:szCs w:val="24"/>
                <w:lang w:eastAsia="zh-CN"/>
              </w:rPr>
            </w:pPr>
            <w:r>
              <w:rPr>
                <w:rFonts w:hint="eastAsia" w:ascii="仿宋" w:hAnsi="仿宋" w:eastAsia="仿宋" w:cs="宋体"/>
                <w:b/>
                <w:bCs/>
                <w:sz w:val="24"/>
                <w:szCs w:val="24"/>
                <w:lang w:eastAsia="zh-CN"/>
              </w:rPr>
              <w:t>“</w:t>
            </w:r>
            <w:r>
              <w:rPr>
                <w:rFonts w:hint="eastAsia" w:ascii="仿宋" w:hAnsi="仿宋" w:eastAsia="仿宋" w:cs="宋体"/>
                <w:b/>
                <w:bCs/>
                <w:sz w:val="24"/>
                <w:szCs w:val="24"/>
              </w:rPr>
              <w:t>自选项目</w:t>
            </w:r>
            <w:r>
              <w:rPr>
                <w:rFonts w:hint="eastAsia" w:ascii="仿宋" w:hAnsi="仿宋" w:eastAsia="仿宋" w:cs="宋体"/>
                <w:b/>
                <w:bCs/>
                <w:sz w:val="24"/>
                <w:szCs w:val="24"/>
                <w:lang w:eastAsia="zh-CN"/>
              </w:rPr>
              <w:t>”（</w:t>
            </w:r>
            <w:r>
              <w:rPr>
                <w:rFonts w:hint="eastAsia" w:ascii="仿宋" w:hAnsi="仿宋" w:eastAsia="仿宋" w:cs="宋体"/>
                <w:b/>
                <w:bCs/>
                <w:sz w:val="24"/>
                <w:szCs w:val="24"/>
              </w:rPr>
              <w:t>现场展示</w:t>
            </w:r>
            <w:r>
              <w:rPr>
                <w:rFonts w:hint="eastAsia" w:ascii="仿宋" w:hAnsi="仿宋" w:eastAsia="仿宋" w:cs="宋体"/>
                <w:b/>
                <w:bCs/>
                <w:sz w:val="24"/>
                <w:szCs w:val="24"/>
                <w:lang w:eastAsia="zh-CN"/>
              </w:rPr>
              <w:t>）</w:t>
            </w:r>
            <w:r>
              <w:rPr>
                <w:rFonts w:hint="eastAsia" w:ascii="仿宋" w:hAnsi="仿宋" w:eastAsia="仿宋" w:cs="宋体"/>
                <w:b/>
                <w:bCs/>
                <w:sz w:val="24"/>
                <w:szCs w:val="24"/>
              </w:rPr>
              <w:t>部分占总成绩的50%</w:t>
            </w:r>
            <w:r>
              <w:rPr>
                <w:rFonts w:hint="eastAsia" w:ascii="仿宋" w:hAnsi="仿宋" w:eastAsia="仿宋" w:cs="宋体"/>
                <w:b/>
                <w:bCs/>
                <w:sz w:val="24"/>
                <w:szCs w:val="24"/>
                <w:lang w:eastAsia="zh-CN"/>
              </w:rPr>
              <w:t>；</w:t>
            </w:r>
          </w:p>
          <w:p w14:paraId="2D7AC35A">
            <w:pPr>
              <w:widowControl/>
              <w:snapToGrid w:val="0"/>
              <w:spacing w:before="62" w:after="62" w:line="560" w:lineRule="exact"/>
              <w:ind w:firstLine="482"/>
              <w:rPr>
                <w:rFonts w:hint="eastAsia" w:ascii="仿宋" w:hAnsi="仿宋" w:eastAsia="仿宋" w:cs="宋体"/>
                <w:sz w:val="24"/>
                <w:szCs w:val="24"/>
                <w:lang w:eastAsia="zh-CN"/>
              </w:rPr>
            </w:pPr>
            <w:r>
              <w:rPr>
                <w:rFonts w:hint="eastAsia" w:ascii="仿宋" w:hAnsi="仿宋" w:eastAsia="仿宋" w:cs="宋体"/>
                <w:sz w:val="24"/>
                <w:szCs w:val="24"/>
              </w:rPr>
              <w:t>“自选项目”（现场展示）部分根据专业特色进行人工智能+场景应用，准备PPT和应用设备，现场展示</w:t>
            </w:r>
            <w:r>
              <w:rPr>
                <w:rFonts w:hint="eastAsia" w:ascii="仿宋" w:hAnsi="仿宋" w:eastAsia="仿宋" w:cs="宋体"/>
                <w:sz w:val="24"/>
                <w:szCs w:val="24"/>
                <w:lang w:eastAsia="zh-CN"/>
              </w:rPr>
              <w:t>，</w:t>
            </w:r>
            <w:r>
              <w:rPr>
                <w:rFonts w:hint="eastAsia" w:ascii="仿宋" w:hAnsi="仿宋" w:eastAsia="仿宋" w:cs="宋体"/>
                <w:sz w:val="24"/>
                <w:szCs w:val="24"/>
              </w:rPr>
              <w:t>考核选手技能水平、应用价值、创新创意、团队合作与职业素养。</w:t>
            </w:r>
          </w:p>
          <w:p w14:paraId="59A52AC3">
            <w:pPr>
              <w:spacing w:before="62" w:after="62" w:line="600" w:lineRule="exact"/>
              <w:ind w:firstLine="480"/>
              <w:rPr>
                <w:rFonts w:hint="eastAsia" w:ascii="黑体" w:hAnsi="黑体" w:eastAsia="黑体" w:cs="黑体"/>
                <w:sz w:val="24"/>
                <w:szCs w:val="24"/>
              </w:rPr>
            </w:pPr>
            <w:r>
              <w:rPr>
                <w:rFonts w:hint="eastAsia" w:ascii="黑体" w:hAnsi="黑体" w:eastAsia="黑体" w:cs="黑体"/>
                <w:sz w:val="24"/>
                <w:szCs w:val="24"/>
              </w:rPr>
              <w:t>（二）检验选手核心能力与职业综合能力</w:t>
            </w:r>
          </w:p>
          <w:p w14:paraId="3066573A">
            <w:pPr>
              <w:spacing w:before="62" w:after="62" w:line="600" w:lineRule="exact"/>
              <w:ind w:firstLine="480"/>
              <w:rPr>
                <w:rFonts w:hint="eastAsia" w:ascii="仿宋" w:hAnsi="仿宋" w:eastAsia="仿宋" w:cs="宋体"/>
                <w:sz w:val="24"/>
                <w:szCs w:val="24"/>
              </w:rPr>
            </w:pPr>
            <w:r>
              <w:rPr>
                <w:rFonts w:ascii="仿宋" w:hAnsi="仿宋" w:eastAsia="仿宋" w:cs="宋体"/>
                <w:sz w:val="24"/>
                <w:szCs w:val="24"/>
              </w:rPr>
              <w:t>1.</w:t>
            </w:r>
            <w:r>
              <w:rPr>
                <w:rFonts w:hint="eastAsia" w:ascii="仿宋" w:hAnsi="仿宋" w:eastAsia="仿宋" w:cs="宋体"/>
                <w:sz w:val="24"/>
                <w:szCs w:val="24"/>
              </w:rPr>
              <w:t>认知型技能。包括人工智能基础知识、人工智能边缘设备认知、人工智能技术认知、人工智能应用认知。</w:t>
            </w:r>
          </w:p>
          <w:p w14:paraId="612D247C">
            <w:pPr>
              <w:spacing w:before="62" w:after="62" w:line="600" w:lineRule="exact"/>
              <w:ind w:firstLine="480"/>
              <w:rPr>
                <w:rFonts w:hint="eastAsia" w:ascii="仿宋" w:hAnsi="仿宋" w:eastAsia="仿宋" w:cs="宋体"/>
                <w:sz w:val="24"/>
                <w:szCs w:val="24"/>
              </w:rPr>
            </w:pPr>
            <w:r>
              <w:rPr>
                <w:rFonts w:ascii="仿宋" w:hAnsi="仿宋" w:eastAsia="仿宋" w:cs="宋体"/>
                <w:sz w:val="24"/>
                <w:szCs w:val="24"/>
              </w:rPr>
              <w:t>2.</w:t>
            </w:r>
            <w:r>
              <w:rPr>
                <w:rFonts w:hint="eastAsia" w:ascii="仿宋" w:hAnsi="仿宋" w:eastAsia="仿宋" w:cs="宋体"/>
                <w:sz w:val="24"/>
                <w:szCs w:val="24"/>
              </w:rPr>
              <w:t>实操型技能。包括在规定时间内完成数据采集与预处理、数据标注、</w:t>
            </w:r>
            <w:r>
              <w:rPr>
                <w:rFonts w:ascii="仿宋" w:hAnsi="仿宋" w:eastAsia="仿宋" w:cs="宋体"/>
                <w:sz w:val="24"/>
                <w:szCs w:val="24"/>
              </w:rPr>
              <w:t>AI</w:t>
            </w:r>
            <w:r>
              <w:rPr>
                <w:rFonts w:hint="eastAsia" w:ascii="仿宋" w:hAnsi="仿宋" w:eastAsia="仿宋" w:cs="宋体"/>
                <w:sz w:val="24"/>
                <w:szCs w:val="24"/>
              </w:rPr>
              <w:t>应用系统部署与维护。典型的工作任务如下：</w:t>
            </w:r>
          </w:p>
          <w:p w14:paraId="1BDD8FC7">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设备配置与调试：设置和调整竞赛平台提供的语音和摄像头相关设备，确保它们能够正确采集数据。</w:t>
            </w:r>
          </w:p>
          <w:p w14:paraId="1DE179E5">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数据采集：使用配置好的设备进行实际的数据收集工作，这可能包括录制音频、拍摄视频或捕捉其他类型的传感器数据。</w:t>
            </w:r>
          </w:p>
          <w:p w14:paraId="6E0E0D4C">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数据保存：将采集到的数据以适当的格式和结构存储起来，以便后续处理。这要求选手了解不同数据格式的优缺点，并能选择最适合项目需求的数据保存方式。</w:t>
            </w:r>
          </w:p>
          <w:p w14:paraId="2C2104E9">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数据清洗：对收集到的原始数据执行基本的预处理操作，如去除重复项（去重），消除噪声和纠正错误数据（去模糊）。这一步骤是数据预处理的重要部分，对于提高数据质量和后续分析的准确性至关重要。</w:t>
            </w:r>
          </w:p>
          <w:p w14:paraId="09C6327E">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理解标注需求：首先明确标注任务的目的、规则和标准。这包括了解不同类型数据（文本、语音、图像、视频等）的标注要求，以及掌握所使用标注软件的操作方法。</w:t>
            </w:r>
          </w:p>
          <w:p w14:paraId="138BC911">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文本数据标注：对文本数据进行标注，这可能包括指定情感倾向（如正面、负面、中性）、标注特定实体（人名、地名、组织机构名等）或执行其他类型的文本分类。</w:t>
            </w:r>
          </w:p>
          <w:p w14:paraId="74AD5AFA">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语音数据标注：对语音数据进行转录和注释，可能包括标记说话人的更换、情感变化或特定的语音事件（如笑声、掌声等）。</w:t>
            </w:r>
          </w:p>
          <w:p w14:paraId="398825CD">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图像数据标注：为图像数据标记边界框以定位对象、勾画对象轮廓或进行像素级分割，以及标记对象类别，例如将某个图像中的特定物体分类为车辆、行人、动物等。</w:t>
            </w:r>
          </w:p>
          <w:p w14:paraId="371F026A">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安装部署：围绕人工智能边缘设备执行正确的安装流程，包括硬件设备的物理设置和必要的软件初始化。</w:t>
            </w:r>
          </w:p>
          <w:p w14:paraId="3BAC6749">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设备连接与搭建：实施</w:t>
            </w:r>
            <w:r>
              <w:rPr>
                <w:rFonts w:ascii="仿宋" w:hAnsi="仿宋" w:eastAsia="仿宋" w:cs="宋体"/>
                <w:sz w:val="24"/>
                <w:szCs w:val="24"/>
              </w:rPr>
              <w:t>AI</w:t>
            </w:r>
            <w:r>
              <w:rPr>
                <w:rFonts w:hint="eastAsia" w:ascii="仿宋" w:hAnsi="仿宋" w:eastAsia="仿宋" w:cs="宋体"/>
                <w:sz w:val="24"/>
                <w:szCs w:val="24"/>
              </w:rPr>
              <w:t>核心开发板与视觉、语音等辅助设备之间的正确连接和集成，确保硬件之间正常通信并协同工作。</w:t>
            </w:r>
          </w:p>
          <w:p w14:paraId="60033FFF">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网络参数配置：为边缘设备配置适当的网络参数，包括</w:t>
            </w:r>
            <w:r>
              <w:rPr>
                <w:rFonts w:ascii="仿宋" w:hAnsi="仿宋" w:eastAsia="仿宋" w:cs="宋体"/>
                <w:sz w:val="24"/>
                <w:szCs w:val="24"/>
              </w:rPr>
              <w:t>Wi-Fi</w:t>
            </w:r>
            <w:r>
              <w:rPr>
                <w:rFonts w:hint="eastAsia" w:ascii="仿宋" w:hAnsi="仿宋" w:eastAsia="仿宋" w:cs="宋体"/>
                <w:sz w:val="24"/>
                <w:szCs w:val="24"/>
              </w:rPr>
              <w:t>、蓝牙或其他无线通讯方式的设置，以及可能的网络测试，确保设备能够顺利接入网络环境。</w:t>
            </w:r>
          </w:p>
          <w:p w14:paraId="77BB09BA">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应用程序部署：在</w:t>
            </w:r>
            <w:r>
              <w:rPr>
                <w:rFonts w:ascii="仿宋" w:hAnsi="仿宋" w:eastAsia="仿宋" w:cs="宋体"/>
                <w:sz w:val="24"/>
                <w:szCs w:val="24"/>
              </w:rPr>
              <w:t>PC</w:t>
            </w:r>
            <w:r>
              <w:rPr>
                <w:rFonts w:hint="eastAsia" w:ascii="仿宋" w:hAnsi="仿宋" w:eastAsia="仿宋" w:cs="宋体"/>
                <w:sz w:val="24"/>
                <w:szCs w:val="24"/>
              </w:rPr>
              <w:t>端、边缘端安装并部署人工智能应用程序和服务，这可能涉及程序编译、打包、传输和运行等多个步骤。</w:t>
            </w:r>
          </w:p>
          <w:p w14:paraId="5D711A95">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调试与测试：调试维护相关应用程序代码，对已部署的</w:t>
            </w:r>
            <w:r>
              <w:rPr>
                <w:rFonts w:ascii="仿宋" w:hAnsi="仿宋" w:eastAsia="仿宋" w:cs="宋体"/>
                <w:sz w:val="24"/>
                <w:szCs w:val="24"/>
              </w:rPr>
              <w:t>AI</w:t>
            </w:r>
            <w:r>
              <w:rPr>
                <w:rFonts w:hint="eastAsia" w:ascii="仿宋" w:hAnsi="仿宋" w:eastAsia="仿宋" w:cs="宋体"/>
                <w:sz w:val="24"/>
                <w:szCs w:val="24"/>
              </w:rPr>
              <w:t>应用进行调试和测试，验证其功能、性能和稳定性，确保在各种操作条件下均能正常工作。</w:t>
            </w:r>
          </w:p>
          <w:p w14:paraId="5715A344">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模型训练：模型训练考核预训练模型调用、模型选择、模型搭建、超参数配置、模型训练、模型微调、模型保存等内容；</w:t>
            </w:r>
          </w:p>
          <w:p w14:paraId="74253913">
            <w:pPr>
              <w:spacing w:before="62" w:after="62" w:line="600" w:lineRule="exact"/>
              <w:ind w:firstLine="480"/>
              <w:rPr>
                <w:rFonts w:hint="eastAsia" w:ascii="仿宋" w:hAnsi="仿宋" w:eastAsia="仿宋" w:cs="宋体"/>
                <w:sz w:val="24"/>
                <w:szCs w:val="24"/>
              </w:rPr>
            </w:pPr>
            <w:r>
              <w:rPr>
                <w:rFonts w:hint="eastAsia" w:ascii="仿宋" w:hAnsi="仿宋" w:eastAsia="仿宋" w:cs="宋体"/>
                <w:sz w:val="24"/>
                <w:szCs w:val="24"/>
              </w:rPr>
              <w:t>模型评估：主要考核能够编写代码处理输入数据并传入模型，正确配置超参数并调用已训练好的模型对无标签数据进行预测等内容。</w:t>
            </w:r>
          </w:p>
          <w:p w14:paraId="7918E470">
            <w:pPr>
              <w:spacing w:before="62" w:after="62" w:line="600" w:lineRule="exact"/>
              <w:ind w:firstLine="480"/>
              <w:rPr>
                <w:rFonts w:ascii="Arial Narrow" w:hAnsi="Arial Narrow" w:cs="宋体"/>
                <w:sz w:val="24"/>
                <w:szCs w:val="28"/>
              </w:rPr>
            </w:pPr>
            <w:r>
              <w:rPr>
                <w:rFonts w:hint="eastAsia" w:ascii="仿宋" w:hAnsi="仿宋" w:eastAsia="仿宋" w:cs="宋体"/>
                <w:sz w:val="24"/>
                <w:szCs w:val="24"/>
              </w:rPr>
              <w:t>综合应用开发：根据提供的计算机视觉、语音、自然语言处理等</w:t>
            </w:r>
            <w:r>
              <w:rPr>
                <w:rFonts w:ascii="仿宋" w:hAnsi="仿宋" w:eastAsia="仿宋" w:cs="宋体"/>
                <w:sz w:val="24"/>
                <w:szCs w:val="24"/>
              </w:rPr>
              <w:t>AI</w:t>
            </w:r>
            <w:r>
              <w:rPr>
                <w:rFonts w:hint="eastAsia" w:ascii="仿宋" w:hAnsi="仿宋" w:eastAsia="仿宋" w:cs="宋体"/>
                <w:sz w:val="24"/>
                <w:szCs w:val="24"/>
              </w:rPr>
              <w:t>模型，部署到边缘智能终端，通过对接口服务调用实现推理预测结果，完成人工智能应用程序功能开发。</w:t>
            </w:r>
          </w:p>
        </w:tc>
      </w:tr>
      <w:tr w14:paraId="259E7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8" w:type="dxa"/>
            <w:gridSpan w:val="8"/>
          </w:tcPr>
          <w:p w14:paraId="7045175F">
            <w:pPr>
              <w:spacing w:before="62" w:after="62"/>
              <w:ind w:firstLine="480"/>
              <w:rPr>
                <w:rFonts w:hint="eastAsia" w:ascii="黑体" w:hAnsi="黑体" w:eastAsia="黑体" w:cs="黑体"/>
                <w:sz w:val="24"/>
                <w:szCs w:val="24"/>
              </w:rPr>
            </w:pPr>
            <w:r>
              <w:rPr>
                <w:rFonts w:hint="eastAsia" w:ascii="黑体" w:hAnsi="黑体" w:eastAsia="黑体" w:cs="黑体"/>
                <w:sz w:val="24"/>
                <w:szCs w:val="24"/>
              </w:rPr>
              <w:t>2.逐项说明赛项模块、比赛时长及分值配比（赛项模块应根据赛项目标进行合理设计，对每个任务内容进行说明）。</w:t>
            </w:r>
          </w:p>
        </w:tc>
      </w:tr>
      <w:tr w14:paraId="31CDD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vAlign w:val="center"/>
          </w:tcPr>
          <w:p w14:paraId="4C6664E2">
            <w:pPr>
              <w:spacing w:before="62" w:after="62"/>
              <w:ind w:firstLine="0" w:firstLineChars="0"/>
              <w:rPr>
                <w:rFonts w:hint="eastAsia" w:ascii="黑体" w:hAnsi="黑体" w:eastAsia="黑体" w:cs="黑体"/>
                <w:sz w:val="24"/>
                <w:szCs w:val="24"/>
              </w:rPr>
            </w:pPr>
            <w:r>
              <w:rPr>
                <w:rFonts w:hint="eastAsia" w:ascii="黑体" w:hAnsi="黑体" w:eastAsia="黑体" w:cs="黑体"/>
                <w:sz w:val="24"/>
                <w:szCs w:val="24"/>
              </w:rPr>
              <w:t>项目类型</w:t>
            </w:r>
          </w:p>
        </w:tc>
        <w:tc>
          <w:tcPr>
            <w:tcW w:w="1982" w:type="dxa"/>
            <w:gridSpan w:val="2"/>
            <w:vAlign w:val="center"/>
          </w:tcPr>
          <w:p w14:paraId="0F392126">
            <w:pPr>
              <w:spacing w:before="62" w:after="62"/>
              <w:ind w:firstLine="480"/>
              <w:rPr>
                <w:rFonts w:hint="eastAsia" w:ascii="黑体" w:hAnsi="黑体" w:eastAsia="黑体" w:cs="黑体"/>
                <w:sz w:val="24"/>
                <w:szCs w:val="24"/>
              </w:rPr>
            </w:pPr>
            <w:r>
              <w:rPr>
                <w:rFonts w:hint="eastAsia" w:ascii="黑体" w:hAnsi="黑体" w:eastAsia="黑体" w:cs="黑体"/>
                <w:sz w:val="24"/>
                <w:szCs w:val="24"/>
              </w:rPr>
              <w:t>模块</w:t>
            </w:r>
          </w:p>
        </w:tc>
        <w:tc>
          <w:tcPr>
            <w:tcW w:w="2781" w:type="dxa"/>
            <w:vAlign w:val="center"/>
          </w:tcPr>
          <w:p w14:paraId="1DB969A0">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主要内容</w:t>
            </w:r>
          </w:p>
        </w:tc>
        <w:tc>
          <w:tcPr>
            <w:tcW w:w="1226" w:type="dxa"/>
            <w:vAlign w:val="center"/>
          </w:tcPr>
          <w:p w14:paraId="6D15E927">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比赛时长</w:t>
            </w:r>
          </w:p>
        </w:tc>
        <w:tc>
          <w:tcPr>
            <w:tcW w:w="604" w:type="dxa"/>
            <w:gridSpan w:val="2"/>
            <w:vAlign w:val="center"/>
          </w:tcPr>
          <w:p w14:paraId="7C9E68B0">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分值</w:t>
            </w:r>
          </w:p>
        </w:tc>
        <w:tc>
          <w:tcPr>
            <w:tcW w:w="628" w:type="dxa"/>
            <w:vAlign w:val="center"/>
          </w:tcPr>
          <w:p w14:paraId="64231AF3">
            <w:pPr>
              <w:spacing w:before="62" w:after="62"/>
              <w:ind w:firstLine="0" w:firstLineChars="0"/>
              <w:jc w:val="center"/>
              <w:rPr>
                <w:rFonts w:hint="default" w:ascii="黑体" w:hAnsi="黑体" w:eastAsia="黑体" w:cs="黑体"/>
                <w:sz w:val="24"/>
                <w:szCs w:val="24"/>
                <w:lang w:val="en-US" w:eastAsia="zh-CN"/>
              </w:rPr>
            </w:pPr>
            <w:r>
              <w:rPr>
                <w:rFonts w:hint="eastAsia" w:ascii="黑体" w:hAnsi="黑体" w:eastAsia="黑体" w:cs="黑体"/>
                <w:sz w:val="18"/>
                <w:szCs w:val="18"/>
                <w:lang w:val="en-US" w:eastAsia="zh-CN"/>
              </w:rPr>
              <w:t>分值占比</w:t>
            </w:r>
          </w:p>
        </w:tc>
      </w:tr>
      <w:tr w14:paraId="4036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vMerge w:val="restart"/>
            <w:vAlign w:val="center"/>
          </w:tcPr>
          <w:p w14:paraId="4087B841">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指定项目</w:t>
            </w:r>
          </w:p>
        </w:tc>
        <w:tc>
          <w:tcPr>
            <w:tcW w:w="930" w:type="dxa"/>
            <w:vAlign w:val="center"/>
          </w:tcPr>
          <w:p w14:paraId="31B46A82">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模块一</w:t>
            </w:r>
          </w:p>
        </w:tc>
        <w:tc>
          <w:tcPr>
            <w:tcW w:w="1052" w:type="dxa"/>
            <w:vAlign w:val="center"/>
          </w:tcPr>
          <w:p w14:paraId="7166CF58">
            <w:pPr>
              <w:spacing w:before="62" w:after="62" w:line="240" w:lineRule="auto"/>
              <w:ind w:firstLine="0" w:firstLineChars="0"/>
              <w:rPr>
                <w:rFonts w:hint="eastAsia" w:ascii="黑体" w:hAnsi="黑体" w:eastAsia="黑体" w:cs="黑体"/>
                <w:sz w:val="24"/>
                <w:szCs w:val="24"/>
              </w:rPr>
            </w:pPr>
            <w:r>
              <w:rPr>
                <w:rFonts w:hint="eastAsia"/>
                <w:bCs/>
                <w:color w:val="000000"/>
                <w:sz w:val="24"/>
              </w:rPr>
              <w:t>数据采集与预处理</w:t>
            </w:r>
          </w:p>
        </w:tc>
        <w:tc>
          <w:tcPr>
            <w:tcW w:w="2781" w:type="dxa"/>
            <w:vAlign w:val="center"/>
          </w:tcPr>
          <w:p w14:paraId="102D662C">
            <w:pPr>
              <w:spacing w:before="62" w:after="62" w:line="240" w:lineRule="auto"/>
              <w:ind w:firstLine="0" w:firstLineChars="0"/>
              <w:rPr>
                <w:bCs/>
                <w:color w:val="000000"/>
                <w:sz w:val="24"/>
              </w:rPr>
            </w:pPr>
            <w:r>
              <w:rPr>
                <w:rFonts w:hint="eastAsia"/>
                <w:bCs/>
                <w:color w:val="000000"/>
                <w:sz w:val="20"/>
              </w:rPr>
              <w:t>考核参赛选手能够按照要求使用或者编写</w:t>
            </w:r>
            <w:r>
              <w:rPr>
                <w:bCs/>
                <w:color w:val="000000"/>
                <w:sz w:val="20"/>
              </w:rPr>
              <w:t>python</w:t>
            </w:r>
            <w:r>
              <w:rPr>
                <w:rFonts w:hint="eastAsia"/>
                <w:bCs/>
                <w:color w:val="000000"/>
                <w:sz w:val="20"/>
              </w:rPr>
              <w:t>程序采集数据，并将采集的数据文件，批量进行命名规范、格式规范、数据清洗、标注信息提取、数据集划分、数据集加载等操作。</w:t>
            </w:r>
          </w:p>
        </w:tc>
        <w:tc>
          <w:tcPr>
            <w:tcW w:w="1226" w:type="dxa"/>
            <w:vMerge w:val="restart"/>
            <w:vAlign w:val="center"/>
          </w:tcPr>
          <w:p w14:paraId="38B55B8F">
            <w:pPr>
              <w:spacing w:before="62" w:after="62"/>
              <w:ind w:firstLine="0" w:firstLineChars="0"/>
              <w:rPr>
                <w:rFonts w:hint="eastAsia" w:ascii="黑体" w:hAnsi="黑体" w:eastAsia="黑体" w:cs="黑体"/>
                <w:sz w:val="24"/>
                <w:szCs w:val="24"/>
              </w:rPr>
            </w:pPr>
            <w:r>
              <w:rPr>
                <w:rFonts w:hint="eastAsia"/>
                <w:bCs/>
                <w:color w:val="000000"/>
                <w:sz w:val="24"/>
              </w:rPr>
              <w:t>120分钟</w:t>
            </w:r>
          </w:p>
        </w:tc>
        <w:tc>
          <w:tcPr>
            <w:tcW w:w="576" w:type="dxa"/>
            <w:vAlign w:val="center"/>
          </w:tcPr>
          <w:p w14:paraId="208651EC">
            <w:pPr>
              <w:spacing w:before="62" w:after="62"/>
              <w:ind w:firstLine="0" w:firstLineChars="0"/>
              <w:rPr>
                <w:rFonts w:hint="eastAsia" w:ascii="黑体" w:hAnsi="黑体" w:cs="黑体"/>
                <w:sz w:val="24"/>
                <w:szCs w:val="24"/>
              </w:rPr>
            </w:pPr>
            <w:r>
              <w:rPr>
                <w:rFonts w:hint="eastAsia"/>
                <w:bCs/>
                <w:color w:val="000000"/>
                <w:sz w:val="24"/>
              </w:rPr>
              <w:t>20</w:t>
            </w:r>
          </w:p>
        </w:tc>
        <w:tc>
          <w:tcPr>
            <w:tcW w:w="656" w:type="dxa"/>
            <w:gridSpan w:val="2"/>
            <w:vMerge w:val="restart"/>
            <w:vAlign w:val="center"/>
          </w:tcPr>
          <w:p w14:paraId="5C017D76">
            <w:pPr>
              <w:spacing w:before="62" w:after="62"/>
              <w:ind w:firstLine="0" w:firstLineChars="0"/>
              <w:rPr>
                <w:bCs/>
                <w:color w:val="000000"/>
                <w:sz w:val="24"/>
              </w:rPr>
            </w:pPr>
            <w:r>
              <w:rPr>
                <w:rFonts w:hint="eastAsia"/>
                <w:bCs/>
                <w:color w:val="000000"/>
                <w:sz w:val="24"/>
              </w:rPr>
              <w:t>50%</w:t>
            </w:r>
          </w:p>
        </w:tc>
      </w:tr>
      <w:tr w14:paraId="3205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vMerge w:val="continue"/>
            <w:vAlign w:val="center"/>
          </w:tcPr>
          <w:p w14:paraId="16B8605E">
            <w:pPr>
              <w:spacing w:before="62" w:after="62"/>
              <w:ind w:firstLine="0" w:firstLineChars="0"/>
              <w:jc w:val="center"/>
              <w:rPr>
                <w:rFonts w:hint="eastAsia" w:ascii="黑体" w:hAnsi="黑体" w:eastAsia="黑体" w:cs="黑体"/>
                <w:sz w:val="24"/>
                <w:szCs w:val="24"/>
              </w:rPr>
            </w:pPr>
          </w:p>
        </w:tc>
        <w:tc>
          <w:tcPr>
            <w:tcW w:w="930" w:type="dxa"/>
            <w:vAlign w:val="center"/>
          </w:tcPr>
          <w:p w14:paraId="3A55C0A1">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模块二</w:t>
            </w:r>
          </w:p>
        </w:tc>
        <w:tc>
          <w:tcPr>
            <w:tcW w:w="1052" w:type="dxa"/>
            <w:vAlign w:val="center"/>
          </w:tcPr>
          <w:p w14:paraId="06CBA919">
            <w:pPr>
              <w:spacing w:before="62" w:after="62" w:line="240" w:lineRule="auto"/>
              <w:ind w:firstLine="0" w:firstLineChars="0"/>
              <w:rPr>
                <w:rFonts w:hint="eastAsia" w:ascii="黑体" w:hAnsi="黑体" w:eastAsia="黑体" w:cs="黑体"/>
                <w:sz w:val="24"/>
                <w:szCs w:val="24"/>
              </w:rPr>
            </w:pPr>
            <w:r>
              <w:rPr>
                <w:rFonts w:hint="eastAsia"/>
                <w:bCs/>
                <w:color w:val="000000"/>
                <w:sz w:val="24"/>
              </w:rPr>
              <w:t>模型训练与评估</w:t>
            </w:r>
          </w:p>
        </w:tc>
        <w:tc>
          <w:tcPr>
            <w:tcW w:w="2781" w:type="dxa"/>
            <w:vAlign w:val="center"/>
          </w:tcPr>
          <w:p w14:paraId="4E22D7EF">
            <w:pPr>
              <w:spacing w:before="62" w:after="62" w:line="240" w:lineRule="auto"/>
              <w:ind w:firstLine="0" w:firstLineChars="0"/>
              <w:rPr>
                <w:bCs/>
                <w:color w:val="000000"/>
                <w:sz w:val="24"/>
              </w:rPr>
            </w:pPr>
            <w:r>
              <w:rPr>
                <w:rFonts w:hint="eastAsia"/>
                <w:bCs/>
                <w:color w:val="000000"/>
                <w:sz w:val="20"/>
              </w:rPr>
              <w:t>模型训练考核预训练模型调用、模型选择、模型搭建、超参数配置、模型训练、模型微调、模型保存等内容；模型评估主要考核能够编写代码处理输入数据并传入模型，正确配置超参数并调用已训练好的模型对无标签数据进行预测等内容。</w:t>
            </w:r>
          </w:p>
        </w:tc>
        <w:tc>
          <w:tcPr>
            <w:tcW w:w="1226" w:type="dxa"/>
            <w:vMerge w:val="continue"/>
            <w:vAlign w:val="center"/>
          </w:tcPr>
          <w:p w14:paraId="29C2B9FA">
            <w:pPr>
              <w:spacing w:before="62" w:after="62"/>
              <w:ind w:firstLine="480"/>
              <w:jc w:val="center"/>
              <w:rPr>
                <w:rFonts w:hint="eastAsia" w:ascii="黑体" w:hAnsi="黑体" w:eastAsia="黑体" w:cs="黑体"/>
                <w:sz w:val="24"/>
                <w:szCs w:val="24"/>
              </w:rPr>
            </w:pPr>
          </w:p>
        </w:tc>
        <w:tc>
          <w:tcPr>
            <w:tcW w:w="576" w:type="dxa"/>
            <w:vAlign w:val="center"/>
          </w:tcPr>
          <w:p w14:paraId="2E65709B">
            <w:pPr>
              <w:spacing w:before="62" w:after="62"/>
              <w:ind w:firstLine="0" w:firstLineChars="0"/>
              <w:rPr>
                <w:rFonts w:hint="eastAsia" w:ascii="黑体" w:hAnsi="黑体" w:cs="黑体"/>
                <w:sz w:val="24"/>
                <w:szCs w:val="24"/>
              </w:rPr>
            </w:pPr>
            <w:r>
              <w:rPr>
                <w:rFonts w:hint="eastAsia"/>
                <w:bCs/>
                <w:color w:val="000000"/>
                <w:sz w:val="24"/>
              </w:rPr>
              <w:t>30</w:t>
            </w:r>
          </w:p>
        </w:tc>
        <w:tc>
          <w:tcPr>
            <w:tcW w:w="656" w:type="dxa"/>
            <w:gridSpan w:val="2"/>
            <w:vMerge w:val="continue"/>
            <w:vAlign w:val="center"/>
          </w:tcPr>
          <w:p w14:paraId="049DBA69">
            <w:pPr>
              <w:spacing w:before="62" w:after="62"/>
              <w:ind w:firstLine="0" w:firstLineChars="0"/>
              <w:rPr>
                <w:bCs/>
                <w:color w:val="000000"/>
                <w:sz w:val="24"/>
              </w:rPr>
            </w:pPr>
          </w:p>
        </w:tc>
      </w:tr>
      <w:tr w14:paraId="6CC58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vMerge w:val="continue"/>
            <w:vAlign w:val="center"/>
          </w:tcPr>
          <w:p w14:paraId="061BD6ED">
            <w:pPr>
              <w:spacing w:before="62" w:after="62"/>
              <w:ind w:firstLine="0" w:firstLineChars="0"/>
              <w:jc w:val="center"/>
              <w:rPr>
                <w:rFonts w:hint="eastAsia" w:ascii="黑体" w:hAnsi="黑体" w:eastAsia="黑体" w:cs="黑体"/>
                <w:sz w:val="24"/>
                <w:szCs w:val="24"/>
              </w:rPr>
            </w:pPr>
          </w:p>
        </w:tc>
        <w:tc>
          <w:tcPr>
            <w:tcW w:w="930" w:type="dxa"/>
            <w:vAlign w:val="center"/>
          </w:tcPr>
          <w:p w14:paraId="751105FB">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模块三</w:t>
            </w:r>
          </w:p>
        </w:tc>
        <w:tc>
          <w:tcPr>
            <w:tcW w:w="1052" w:type="dxa"/>
            <w:vAlign w:val="center"/>
          </w:tcPr>
          <w:p w14:paraId="291F5DC1">
            <w:pPr>
              <w:spacing w:before="62" w:after="62" w:line="240" w:lineRule="auto"/>
              <w:ind w:firstLine="0" w:firstLineChars="0"/>
              <w:rPr>
                <w:rFonts w:hint="eastAsia" w:ascii="黑体" w:hAnsi="黑体" w:eastAsia="黑体" w:cs="黑体"/>
                <w:sz w:val="24"/>
                <w:szCs w:val="24"/>
              </w:rPr>
            </w:pPr>
            <w:r>
              <w:rPr>
                <w:bCs/>
                <w:color w:val="000000"/>
                <w:sz w:val="24"/>
              </w:rPr>
              <w:t>AI</w:t>
            </w:r>
            <w:r>
              <w:rPr>
                <w:rFonts w:hint="eastAsia"/>
                <w:bCs/>
                <w:color w:val="000000"/>
                <w:sz w:val="24"/>
              </w:rPr>
              <w:t>应用系统开发</w:t>
            </w:r>
          </w:p>
        </w:tc>
        <w:tc>
          <w:tcPr>
            <w:tcW w:w="2781" w:type="dxa"/>
            <w:vAlign w:val="center"/>
          </w:tcPr>
          <w:p w14:paraId="335C7A6C">
            <w:pPr>
              <w:spacing w:before="62" w:after="62" w:line="240" w:lineRule="auto"/>
              <w:ind w:firstLine="0" w:firstLineChars="0"/>
              <w:rPr>
                <w:bCs/>
                <w:color w:val="000000"/>
                <w:sz w:val="24"/>
              </w:rPr>
            </w:pPr>
            <w:r>
              <w:rPr>
                <w:rFonts w:hint="eastAsia"/>
                <w:bCs/>
                <w:color w:val="000000"/>
                <w:sz w:val="20"/>
              </w:rPr>
              <w:t>考核根据提供的计算机视觉、语音、自然语言处理等</w:t>
            </w:r>
            <w:r>
              <w:rPr>
                <w:bCs/>
                <w:color w:val="000000"/>
                <w:sz w:val="20"/>
              </w:rPr>
              <w:t>AI</w:t>
            </w:r>
            <w:r>
              <w:rPr>
                <w:rFonts w:hint="eastAsia"/>
                <w:bCs/>
                <w:color w:val="000000"/>
                <w:sz w:val="20"/>
              </w:rPr>
              <w:t>模型，部署到边缘智能终端，通过对接口服务调用实现推理预测结果，完成人工智能应用程序功能开发。</w:t>
            </w:r>
          </w:p>
        </w:tc>
        <w:tc>
          <w:tcPr>
            <w:tcW w:w="1226" w:type="dxa"/>
            <w:vMerge w:val="continue"/>
            <w:vAlign w:val="center"/>
          </w:tcPr>
          <w:p w14:paraId="7DD15BBF">
            <w:pPr>
              <w:spacing w:before="62" w:after="62"/>
              <w:ind w:firstLine="480"/>
              <w:jc w:val="center"/>
              <w:rPr>
                <w:rFonts w:hint="eastAsia" w:ascii="黑体" w:hAnsi="黑体" w:eastAsia="黑体" w:cs="黑体"/>
                <w:sz w:val="24"/>
                <w:szCs w:val="24"/>
              </w:rPr>
            </w:pPr>
          </w:p>
        </w:tc>
        <w:tc>
          <w:tcPr>
            <w:tcW w:w="576" w:type="dxa"/>
            <w:vAlign w:val="center"/>
          </w:tcPr>
          <w:p w14:paraId="63B99869">
            <w:pPr>
              <w:spacing w:before="62" w:after="62"/>
              <w:ind w:firstLine="0" w:firstLineChars="0"/>
              <w:rPr>
                <w:rFonts w:hint="eastAsia" w:ascii="黑体" w:hAnsi="黑体" w:eastAsia="黑体" w:cs="黑体"/>
                <w:sz w:val="24"/>
                <w:szCs w:val="24"/>
              </w:rPr>
            </w:pPr>
            <w:r>
              <w:rPr>
                <w:rFonts w:hint="eastAsia"/>
                <w:bCs/>
                <w:color w:val="000000"/>
                <w:sz w:val="24"/>
              </w:rPr>
              <w:t>4</w:t>
            </w:r>
            <w:r>
              <w:rPr>
                <w:bCs/>
                <w:color w:val="000000"/>
                <w:sz w:val="24"/>
              </w:rPr>
              <w:t>0</w:t>
            </w:r>
          </w:p>
        </w:tc>
        <w:tc>
          <w:tcPr>
            <w:tcW w:w="656" w:type="dxa"/>
            <w:gridSpan w:val="2"/>
            <w:vMerge w:val="continue"/>
            <w:vAlign w:val="center"/>
          </w:tcPr>
          <w:p w14:paraId="6218CEE2">
            <w:pPr>
              <w:spacing w:before="62" w:after="62"/>
              <w:ind w:firstLine="0" w:firstLineChars="0"/>
              <w:rPr>
                <w:bCs/>
                <w:color w:val="000000"/>
                <w:sz w:val="24"/>
              </w:rPr>
            </w:pPr>
          </w:p>
        </w:tc>
      </w:tr>
      <w:tr w14:paraId="332AE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vMerge w:val="continue"/>
            <w:vAlign w:val="center"/>
          </w:tcPr>
          <w:p w14:paraId="71B24A6B">
            <w:pPr>
              <w:spacing w:before="62" w:after="62"/>
              <w:ind w:firstLine="0" w:firstLineChars="0"/>
              <w:jc w:val="center"/>
              <w:rPr>
                <w:rFonts w:hint="eastAsia" w:ascii="黑体" w:hAnsi="黑体" w:eastAsia="黑体" w:cs="黑体"/>
                <w:sz w:val="24"/>
                <w:szCs w:val="24"/>
              </w:rPr>
            </w:pPr>
          </w:p>
        </w:tc>
        <w:tc>
          <w:tcPr>
            <w:tcW w:w="930" w:type="dxa"/>
            <w:vAlign w:val="center"/>
          </w:tcPr>
          <w:p w14:paraId="5FDDE407">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模块四</w:t>
            </w:r>
          </w:p>
        </w:tc>
        <w:tc>
          <w:tcPr>
            <w:tcW w:w="1052" w:type="dxa"/>
            <w:vAlign w:val="center"/>
          </w:tcPr>
          <w:p w14:paraId="5E81D5CE">
            <w:pPr>
              <w:spacing w:before="62" w:after="62" w:line="240" w:lineRule="auto"/>
              <w:ind w:firstLine="0" w:firstLineChars="0"/>
              <w:rPr>
                <w:bCs/>
                <w:color w:val="000000"/>
                <w:sz w:val="24"/>
              </w:rPr>
            </w:pPr>
            <w:r>
              <w:rPr>
                <w:rFonts w:hint="eastAsia"/>
                <w:bCs/>
                <w:color w:val="000000"/>
                <w:sz w:val="24"/>
              </w:rPr>
              <w:t>项目设计展示与讲解</w:t>
            </w:r>
          </w:p>
        </w:tc>
        <w:tc>
          <w:tcPr>
            <w:tcW w:w="2781" w:type="dxa"/>
            <w:vAlign w:val="center"/>
          </w:tcPr>
          <w:p w14:paraId="35F423F1">
            <w:pPr>
              <w:spacing w:before="62" w:after="62" w:line="240" w:lineRule="auto"/>
              <w:ind w:firstLine="0" w:firstLineChars="0"/>
              <w:rPr>
                <w:bCs/>
                <w:color w:val="000000"/>
                <w:sz w:val="24"/>
              </w:rPr>
            </w:pPr>
            <w:r>
              <w:rPr>
                <w:rFonts w:hint="eastAsia"/>
                <w:bCs/>
                <w:color w:val="000000"/>
                <w:sz w:val="20"/>
              </w:rPr>
              <w:t>团队介绍项目方案的总体思路，实现的过程，重点突出方案的应用价值，方案的创新点，展示在技术、方法或思路上的独特之处和优势。</w:t>
            </w:r>
          </w:p>
        </w:tc>
        <w:tc>
          <w:tcPr>
            <w:tcW w:w="1226" w:type="dxa"/>
            <w:vAlign w:val="center"/>
          </w:tcPr>
          <w:p w14:paraId="7213A1CD">
            <w:pPr>
              <w:spacing w:before="62" w:after="62"/>
              <w:ind w:firstLine="0" w:firstLineChars="0"/>
              <w:rPr>
                <w:rFonts w:hint="eastAsia" w:ascii="黑体" w:hAnsi="黑体" w:eastAsia="黑体" w:cs="黑体"/>
                <w:sz w:val="24"/>
                <w:szCs w:val="24"/>
              </w:rPr>
            </w:pPr>
            <w:r>
              <w:rPr>
                <w:rFonts w:hint="eastAsia"/>
                <w:bCs/>
                <w:color w:val="000000"/>
                <w:sz w:val="24"/>
              </w:rPr>
              <w:t>10分钟</w:t>
            </w:r>
          </w:p>
        </w:tc>
        <w:tc>
          <w:tcPr>
            <w:tcW w:w="576" w:type="dxa"/>
            <w:vAlign w:val="center"/>
          </w:tcPr>
          <w:p w14:paraId="763319B9">
            <w:pPr>
              <w:spacing w:before="62" w:after="62"/>
              <w:ind w:firstLine="0" w:firstLineChars="0"/>
              <w:rPr>
                <w:rFonts w:hint="eastAsia" w:ascii="黑体" w:hAnsi="黑体" w:eastAsia="黑体" w:cs="黑体"/>
                <w:sz w:val="24"/>
                <w:szCs w:val="24"/>
              </w:rPr>
            </w:pPr>
            <w:r>
              <w:rPr>
                <w:rFonts w:hint="eastAsia"/>
                <w:bCs/>
                <w:color w:val="000000"/>
                <w:sz w:val="24"/>
              </w:rPr>
              <w:t>1</w:t>
            </w:r>
            <w:r>
              <w:rPr>
                <w:bCs/>
                <w:color w:val="000000"/>
                <w:sz w:val="24"/>
              </w:rPr>
              <w:t>0</w:t>
            </w:r>
          </w:p>
        </w:tc>
        <w:tc>
          <w:tcPr>
            <w:tcW w:w="656" w:type="dxa"/>
            <w:gridSpan w:val="2"/>
            <w:vMerge w:val="continue"/>
            <w:vAlign w:val="center"/>
          </w:tcPr>
          <w:p w14:paraId="216ECFE9">
            <w:pPr>
              <w:spacing w:before="62" w:after="62"/>
              <w:ind w:firstLine="0" w:firstLineChars="0"/>
              <w:rPr>
                <w:bCs/>
                <w:color w:val="000000"/>
                <w:sz w:val="24"/>
              </w:rPr>
            </w:pPr>
          </w:p>
        </w:tc>
      </w:tr>
      <w:tr w14:paraId="1EB5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7" w:type="dxa"/>
            <w:vAlign w:val="center"/>
          </w:tcPr>
          <w:p w14:paraId="0F124801">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自选项目</w:t>
            </w:r>
          </w:p>
        </w:tc>
        <w:tc>
          <w:tcPr>
            <w:tcW w:w="1982" w:type="dxa"/>
            <w:gridSpan w:val="2"/>
            <w:vAlign w:val="center"/>
          </w:tcPr>
          <w:p w14:paraId="4B60F999">
            <w:pPr>
              <w:spacing w:before="62" w:after="62" w:line="240" w:lineRule="auto"/>
              <w:ind w:firstLine="0" w:firstLineChars="0"/>
              <w:jc w:val="center"/>
              <w:rPr>
                <w:bCs/>
                <w:color w:val="000000"/>
                <w:sz w:val="24"/>
              </w:rPr>
            </w:pPr>
            <w:r>
              <w:rPr>
                <w:rFonts w:hint="eastAsia"/>
                <w:bCs/>
                <w:color w:val="000000"/>
                <w:sz w:val="24"/>
              </w:rPr>
              <w:t>现场展示</w:t>
            </w:r>
          </w:p>
        </w:tc>
        <w:tc>
          <w:tcPr>
            <w:tcW w:w="2781" w:type="dxa"/>
            <w:vAlign w:val="center"/>
          </w:tcPr>
          <w:p w14:paraId="62543500">
            <w:pPr>
              <w:spacing w:before="62" w:after="62" w:line="240" w:lineRule="auto"/>
              <w:ind w:firstLine="0" w:firstLineChars="0"/>
              <w:rPr>
                <w:bCs/>
                <w:color w:val="000000"/>
                <w:sz w:val="20"/>
              </w:rPr>
            </w:pPr>
            <w:r>
              <w:rPr>
                <w:rFonts w:hint="eastAsia"/>
                <w:bCs/>
                <w:color w:val="000000"/>
                <w:sz w:val="20"/>
              </w:rPr>
              <w:t>根据专业特色进行人工智能+场景应用，准备PPT和应用设备，现场展示。</w:t>
            </w:r>
          </w:p>
        </w:tc>
        <w:tc>
          <w:tcPr>
            <w:tcW w:w="1226" w:type="dxa"/>
            <w:vAlign w:val="center"/>
          </w:tcPr>
          <w:p w14:paraId="538239B5">
            <w:pPr>
              <w:spacing w:before="62" w:after="62"/>
              <w:ind w:firstLine="0" w:firstLineChars="0"/>
              <w:rPr>
                <w:bCs/>
                <w:color w:val="000000"/>
                <w:sz w:val="24"/>
              </w:rPr>
            </w:pPr>
            <w:r>
              <w:rPr>
                <w:rFonts w:hint="eastAsia"/>
                <w:bCs/>
                <w:color w:val="000000"/>
                <w:sz w:val="24"/>
              </w:rPr>
              <w:t>20分钟</w:t>
            </w:r>
          </w:p>
        </w:tc>
        <w:tc>
          <w:tcPr>
            <w:tcW w:w="576" w:type="dxa"/>
            <w:vAlign w:val="center"/>
          </w:tcPr>
          <w:p w14:paraId="45ECC67F">
            <w:pPr>
              <w:spacing w:before="62" w:after="62"/>
              <w:ind w:firstLine="0" w:firstLineChars="0"/>
              <w:rPr>
                <w:bCs/>
                <w:color w:val="000000"/>
                <w:sz w:val="24"/>
              </w:rPr>
            </w:pPr>
            <w:r>
              <w:rPr>
                <w:rFonts w:hint="eastAsia"/>
                <w:bCs/>
                <w:color w:val="000000"/>
                <w:sz w:val="24"/>
              </w:rPr>
              <w:t>100</w:t>
            </w:r>
          </w:p>
        </w:tc>
        <w:tc>
          <w:tcPr>
            <w:tcW w:w="656" w:type="dxa"/>
            <w:gridSpan w:val="2"/>
            <w:vAlign w:val="center"/>
          </w:tcPr>
          <w:p w14:paraId="2787C5A3">
            <w:pPr>
              <w:spacing w:before="62" w:after="62"/>
              <w:ind w:firstLine="0" w:firstLineChars="0"/>
              <w:rPr>
                <w:bCs/>
                <w:color w:val="000000"/>
                <w:sz w:val="24"/>
              </w:rPr>
            </w:pPr>
            <w:r>
              <w:rPr>
                <w:rFonts w:hint="eastAsia"/>
                <w:bCs/>
                <w:color w:val="000000"/>
                <w:sz w:val="24"/>
              </w:rPr>
              <w:t>50%</w:t>
            </w:r>
          </w:p>
        </w:tc>
      </w:tr>
    </w:tbl>
    <w:p w14:paraId="3F935540">
      <w:pPr>
        <w:snapToGrid w:val="0"/>
        <w:spacing w:before="62" w:after="62" w:line="560" w:lineRule="exact"/>
        <w:ind w:firstLine="0" w:firstLineChars="0"/>
        <w:rPr>
          <w:sz w:val="30"/>
          <w:szCs w:val="30"/>
        </w:rPr>
      </w:pPr>
      <w:r>
        <w:rPr>
          <w:rFonts w:hint="eastAsia"/>
          <w:sz w:val="30"/>
          <w:szCs w:val="30"/>
        </w:rPr>
        <w:t>四、竞赛方式</w:t>
      </w:r>
    </w:p>
    <w:tbl>
      <w:tblPr>
        <w:tblStyle w:val="5"/>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4CC3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3" w:hRule="atLeast"/>
        </w:trPr>
        <w:tc>
          <w:tcPr>
            <w:tcW w:w="8296" w:type="dxa"/>
          </w:tcPr>
          <w:p w14:paraId="123A5F81">
            <w:pPr>
              <w:spacing w:before="62" w:after="62" w:line="600" w:lineRule="exact"/>
              <w:ind w:firstLine="480"/>
              <w:rPr>
                <w:rFonts w:hint="eastAsia" w:ascii="仿宋" w:hAnsi="仿宋" w:eastAsia="仿宋" w:cs="宋体"/>
                <w:sz w:val="24"/>
                <w:szCs w:val="24"/>
              </w:rPr>
            </w:pPr>
            <w:r>
              <w:rPr>
                <w:rFonts w:ascii="仿宋" w:hAnsi="仿宋" w:eastAsia="仿宋" w:cs="宋体"/>
                <w:sz w:val="24"/>
                <w:szCs w:val="24"/>
              </w:rPr>
              <w:t>1</w:t>
            </w:r>
            <w:r>
              <w:rPr>
                <w:rFonts w:hint="eastAsia" w:ascii="仿宋" w:hAnsi="仿宋" w:eastAsia="仿宋" w:cs="宋体"/>
                <w:sz w:val="24"/>
                <w:szCs w:val="24"/>
              </w:rPr>
              <w:t>．竞赛考核选手对人工智能技术应用的综合能力，考核方式为实操考核和展示讲解考核。</w:t>
            </w:r>
          </w:p>
          <w:p w14:paraId="646E96E0">
            <w:pPr>
              <w:spacing w:before="62" w:after="62" w:line="600" w:lineRule="exact"/>
              <w:ind w:firstLine="480"/>
              <w:rPr>
                <w:rFonts w:hint="eastAsia" w:ascii="仿宋" w:hAnsi="仿宋" w:eastAsia="仿宋" w:cs="宋体"/>
                <w:sz w:val="24"/>
                <w:szCs w:val="24"/>
              </w:rPr>
            </w:pPr>
            <w:r>
              <w:rPr>
                <w:rFonts w:ascii="仿宋" w:hAnsi="仿宋" w:eastAsia="仿宋" w:cs="宋体"/>
                <w:sz w:val="24"/>
                <w:szCs w:val="24"/>
              </w:rPr>
              <w:t>2.</w:t>
            </w:r>
            <w:r>
              <w:rPr>
                <w:rFonts w:hint="eastAsia" w:ascii="仿宋" w:hAnsi="仿宋" w:eastAsia="仿宋" w:cs="宋体"/>
                <w:sz w:val="24"/>
                <w:szCs w:val="24"/>
              </w:rPr>
              <w:t>人工智能职业技能竞赛是团体赛，由</w:t>
            </w:r>
            <w:r>
              <w:rPr>
                <w:rFonts w:ascii="仿宋" w:hAnsi="仿宋" w:eastAsia="仿宋" w:cs="宋体"/>
                <w:sz w:val="24"/>
                <w:szCs w:val="24"/>
              </w:rPr>
              <w:t>3-4</w:t>
            </w:r>
            <w:r>
              <w:rPr>
                <w:rFonts w:hint="eastAsia" w:ascii="仿宋" w:hAnsi="仿宋" w:eastAsia="仿宋" w:cs="宋体"/>
                <w:sz w:val="24"/>
                <w:szCs w:val="24"/>
              </w:rPr>
              <w:t>名选手完成，竞赛成绩即参赛成绩。每个单位最多可报名</w:t>
            </w:r>
            <w:r>
              <w:rPr>
                <w:rFonts w:ascii="仿宋" w:hAnsi="仿宋" w:eastAsia="仿宋" w:cs="宋体"/>
                <w:sz w:val="24"/>
                <w:szCs w:val="24"/>
              </w:rPr>
              <w:t>2</w:t>
            </w:r>
            <w:r>
              <w:rPr>
                <w:rFonts w:hint="eastAsia" w:ascii="仿宋" w:hAnsi="仿宋" w:eastAsia="仿宋" w:cs="宋体"/>
                <w:sz w:val="24"/>
                <w:szCs w:val="24"/>
              </w:rPr>
              <w:t>支队伍。</w:t>
            </w:r>
          </w:p>
          <w:p w14:paraId="019F065E">
            <w:pPr>
              <w:spacing w:before="62" w:after="62" w:line="600" w:lineRule="exact"/>
              <w:ind w:firstLine="480"/>
              <w:rPr>
                <w:rFonts w:hint="eastAsia" w:ascii="仿宋" w:hAnsi="仿宋" w:eastAsia="仿宋" w:cs="宋体"/>
                <w:sz w:val="24"/>
                <w:szCs w:val="24"/>
              </w:rPr>
            </w:pPr>
            <w:r>
              <w:rPr>
                <w:rFonts w:ascii="仿宋" w:hAnsi="仿宋" w:eastAsia="仿宋" w:cs="宋体"/>
                <w:sz w:val="24"/>
                <w:szCs w:val="24"/>
              </w:rPr>
              <w:t>3</w:t>
            </w:r>
            <w:r>
              <w:rPr>
                <w:rFonts w:hint="eastAsia" w:ascii="仿宋" w:hAnsi="仿宋" w:eastAsia="仿宋" w:cs="宋体"/>
                <w:sz w:val="24"/>
                <w:szCs w:val="24"/>
              </w:rPr>
              <w:t>．每支参赛队可配指导教师</w:t>
            </w:r>
            <w:r>
              <w:rPr>
                <w:rFonts w:ascii="仿宋" w:hAnsi="仿宋" w:eastAsia="仿宋" w:cs="宋体"/>
                <w:sz w:val="24"/>
                <w:szCs w:val="24"/>
              </w:rPr>
              <w:t>1</w:t>
            </w:r>
            <w:r>
              <w:rPr>
                <w:rFonts w:hint="eastAsia" w:ascii="仿宋" w:hAnsi="仿宋" w:eastAsia="仿宋" w:cs="宋体"/>
                <w:sz w:val="24"/>
                <w:szCs w:val="24"/>
              </w:rPr>
              <w:t>至</w:t>
            </w:r>
            <w:r>
              <w:rPr>
                <w:rFonts w:ascii="仿宋" w:hAnsi="仿宋" w:eastAsia="仿宋" w:cs="宋体"/>
                <w:sz w:val="24"/>
                <w:szCs w:val="24"/>
              </w:rPr>
              <w:t>2</w:t>
            </w:r>
            <w:r>
              <w:rPr>
                <w:rFonts w:hint="eastAsia" w:ascii="仿宋" w:hAnsi="仿宋" w:eastAsia="仿宋" w:cs="宋体"/>
                <w:sz w:val="24"/>
                <w:szCs w:val="24"/>
              </w:rPr>
              <w:t>名，指导教师须为本校专兼职教师，竞赛期间不允许指导教师进入赛场进行现场指导。</w:t>
            </w:r>
          </w:p>
        </w:tc>
      </w:tr>
    </w:tbl>
    <w:p w14:paraId="11CF2B88">
      <w:pPr>
        <w:snapToGrid w:val="0"/>
        <w:spacing w:before="62" w:after="62" w:line="560" w:lineRule="exact"/>
        <w:ind w:firstLine="0" w:firstLineChars="0"/>
        <w:rPr>
          <w:sz w:val="30"/>
          <w:szCs w:val="30"/>
        </w:rPr>
      </w:pPr>
    </w:p>
    <w:p w14:paraId="53C5AC03">
      <w:pPr>
        <w:pageBreakBefore/>
        <w:snapToGrid w:val="0"/>
        <w:spacing w:before="62" w:after="62" w:line="560" w:lineRule="exact"/>
        <w:ind w:firstLine="0" w:firstLineChars="0"/>
        <w:rPr>
          <w:sz w:val="30"/>
          <w:szCs w:val="30"/>
        </w:rPr>
      </w:pPr>
      <w:r>
        <w:rPr>
          <w:rFonts w:hint="eastAsia"/>
          <w:sz w:val="30"/>
          <w:szCs w:val="30"/>
        </w:rPr>
        <w:t>五、竞赛流程</w:t>
      </w:r>
    </w:p>
    <w:tbl>
      <w:tblPr>
        <w:tblStyle w:val="5"/>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3"/>
      </w:tblGrid>
      <w:tr w14:paraId="52AB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14:paraId="721CC1CD">
            <w:pPr>
              <w:snapToGrid w:val="0"/>
              <w:spacing w:before="62" w:after="62" w:line="240" w:lineRule="auto"/>
              <w:ind w:firstLine="480"/>
              <w:outlineLvl w:val="0"/>
              <w:rPr>
                <w:rFonts w:hint="eastAsia" w:ascii="黑体" w:hAnsi="黑体" w:eastAsia="黑体" w:cs="黑体"/>
                <w:sz w:val="24"/>
                <w:szCs w:val="24"/>
              </w:rPr>
            </w:pPr>
            <w:r>
              <w:rPr>
                <w:rFonts w:hint="eastAsia" w:ascii="黑体" w:hAnsi="黑体" w:eastAsia="黑体" w:cs="黑体"/>
                <w:sz w:val="24"/>
                <w:szCs w:val="24"/>
              </w:rPr>
              <w:t>（一）竞赛流程图</w:t>
            </w:r>
          </w:p>
          <w:p w14:paraId="40891B77">
            <w:pPr>
              <w:pStyle w:val="11"/>
              <w:numPr>
                <w:ilvl w:val="0"/>
                <w:numId w:val="1"/>
              </w:numPr>
              <w:snapToGrid w:val="0"/>
              <w:spacing w:before="62" w:after="62" w:line="240" w:lineRule="auto"/>
              <w:ind w:firstLineChars="0"/>
              <w:outlineLvl w:val="0"/>
              <w:rPr>
                <w:rFonts w:ascii="黑体" w:hAnsi="黑体" w:eastAsia="黑体" w:cs="黑体"/>
                <w:sz w:val="24"/>
                <w:szCs w:val="24"/>
              </w:rPr>
            </w:pPr>
            <w:r>
              <w:drawing>
                <wp:anchor distT="0" distB="0" distL="114300" distR="114300" simplePos="0" relativeHeight="251662336" behindDoc="0" locked="0" layoutInCell="1" allowOverlap="1">
                  <wp:simplePos x="0" y="0"/>
                  <wp:positionH relativeFrom="column">
                    <wp:posOffset>961390</wp:posOffset>
                  </wp:positionH>
                  <wp:positionV relativeFrom="paragraph">
                    <wp:posOffset>288925</wp:posOffset>
                  </wp:positionV>
                  <wp:extent cx="3088640" cy="7591425"/>
                  <wp:effectExtent l="0" t="0" r="0" b="9525"/>
                  <wp:wrapTopAndBottom/>
                  <wp:docPr id="7872059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205948"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088640" cy="7591425"/>
                          </a:xfrm>
                          <a:prstGeom prst="rect">
                            <a:avLst/>
                          </a:prstGeom>
                        </pic:spPr>
                      </pic:pic>
                    </a:graphicData>
                  </a:graphic>
                </wp:anchor>
              </w:drawing>
            </w:r>
            <w:r>
              <w:rPr>
                <w:rFonts w:hint="eastAsia" w:ascii="黑体" w:hAnsi="黑体" w:eastAsia="黑体" w:cs="黑体"/>
                <w:sz w:val="24"/>
                <w:szCs w:val="24"/>
              </w:rPr>
              <w:t>指定项目：</w:t>
            </w:r>
          </w:p>
          <w:p w14:paraId="2F80800E">
            <w:pPr>
              <w:pStyle w:val="11"/>
              <w:numPr>
                <w:ilvl w:val="0"/>
                <w:numId w:val="1"/>
              </w:numPr>
              <w:snapToGrid w:val="0"/>
              <w:spacing w:before="62" w:after="62" w:line="560" w:lineRule="exact"/>
              <w:ind w:firstLineChars="0"/>
              <w:outlineLvl w:val="0"/>
              <w:rPr>
                <w:rFonts w:hint="eastAsia" w:ascii="黑体" w:hAnsi="黑体" w:eastAsia="黑体" w:cs="黑体"/>
                <w:sz w:val="24"/>
                <w:szCs w:val="24"/>
              </w:rPr>
            </w:pPr>
            <w:r>
              <w:drawing>
                <wp:anchor distT="0" distB="0" distL="114300" distR="114300" simplePos="0" relativeHeight="251663360" behindDoc="0" locked="0" layoutInCell="1" allowOverlap="1">
                  <wp:simplePos x="0" y="0"/>
                  <wp:positionH relativeFrom="column">
                    <wp:posOffset>781050</wp:posOffset>
                  </wp:positionH>
                  <wp:positionV relativeFrom="paragraph">
                    <wp:posOffset>438150</wp:posOffset>
                  </wp:positionV>
                  <wp:extent cx="3326130" cy="5410200"/>
                  <wp:effectExtent l="0" t="0" r="7620" b="0"/>
                  <wp:wrapTopAndBottom/>
                  <wp:docPr id="2131470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47076"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326130" cy="5410200"/>
                          </a:xfrm>
                          <a:prstGeom prst="rect">
                            <a:avLst/>
                          </a:prstGeom>
                        </pic:spPr>
                      </pic:pic>
                    </a:graphicData>
                  </a:graphic>
                </wp:anchor>
              </w:drawing>
            </w:r>
            <w:r>
              <w:rPr>
                <w:rFonts w:hint="eastAsia" w:ascii="黑体" w:hAnsi="黑体" w:eastAsia="黑体" w:cs="黑体"/>
                <w:sz w:val="24"/>
                <w:szCs w:val="24"/>
              </w:rPr>
              <w:t>自选项目</w:t>
            </w:r>
          </w:p>
          <w:p w14:paraId="769934CC">
            <w:pPr>
              <w:snapToGrid w:val="0"/>
              <w:spacing w:before="62" w:after="62" w:line="560" w:lineRule="exact"/>
              <w:ind w:firstLine="480"/>
              <w:outlineLvl w:val="0"/>
              <w:rPr>
                <w:rFonts w:hint="eastAsia" w:ascii="黑体" w:hAnsi="黑体" w:eastAsia="黑体" w:cs="黑体"/>
                <w:sz w:val="24"/>
                <w:szCs w:val="24"/>
              </w:rPr>
            </w:pPr>
            <w:r>
              <w:rPr>
                <w:rFonts w:hint="eastAsia" w:ascii="黑体" w:hAnsi="黑体" w:eastAsia="黑体" w:cs="黑体"/>
                <w:sz w:val="24"/>
                <w:szCs w:val="24"/>
              </w:rPr>
              <w:t>（二）竞赛时间安排表</w:t>
            </w:r>
          </w:p>
          <w:tbl>
            <w:tblPr>
              <w:tblStyle w:val="4"/>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545"/>
              <w:gridCol w:w="2564"/>
              <w:gridCol w:w="2504"/>
              <w:gridCol w:w="858"/>
            </w:tblGrid>
            <w:tr w14:paraId="4ED2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14:paraId="6E8B69B9">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日期</w:t>
                  </w:r>
                </w:p>
              </w:tc>
              <w:tc>
                <w:tcPr>
                  <w:tcW w:w="1545" w:type="dxa"/>
                  <w:tcBorders>
                    <w:top w:val="single" w:color="auto" w:sz="4" w:space="0"/>
                    <w:left w:val="single" w:color="auto" w:sz="4" w:space="0"/>
                    <w:bottom w:val="single" w:color="auto" w:sz="4" w:space="0"/>
                    <w:right w:val="single" w:color="auto" w:sz="4" w:space="0"/>
                  </w:tcBorders>
                  <w:vAlign w:val="center"/>
                </w:tcPr>
                <w:p w14:paraId="7563C288">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时间</w:t>
                  </w:r>
                </w:p>
              </w:tc>
              <w:tc>
                <w:tcPr>
                  <w:tcW w:w="2564" w:type="dxa"/>
                  <w:tcBorders>
                    <w:top w:val="single" w:color="auto" w:sz="4" w:space="0"/>
                    <w:left w:val="single" w:color="auto" w:sz="4" w:space="0"/>
                    <w:bottom w:val="single" w:color="auto" w:sz="4" w:space="0"/>
                    <w:right w:val="single" w:color="auto" w:sz="4" w:space="0"/>
                  </w:tcBorders>
                  <w:vAlign w:val="center"/>
                </w:tcPr>
                <w:p w14:paraId="0F2AE401">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内容</w:t>
                  </w:r>
                </w:p>
              </w:tc>
              <w:tc>
                <w:tcPr>
                  <w:tcW w:w="2504" w:type="dxa"/>
                  <w:tcBorders>
                    <w:top w:val="single" w:color="auto" w:sz="4" w:space="0"/>
                    <w:left w:val="single" w:color="auto" w:sz="4" w:space="0"/>
                    <w:bottom w:val="single" w:color="auto" w:sz="4" w:space="0"/>
                    <w:right w:val="single" w:color="auto" w:sz="4" w:space="0"/>
                  </w:tcBorders>
                  <w:vAlign w:val="center"/>
                </w:tcPr>
                <w:p w14:paraId="7B79B2EE">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参加人员</w:t>
                  </w:r>
                </w:p>
              </w:tc>
              <w:tc>
                <w:tcPr>
                  <w:tcW w:w="858" w:type="dxa"/>
                  <w:tcBorders>
                    <w:top w:val="single" w:color="auto" w:sz="4" w:space="0"/>
                    <w:left w:val="single" w:color="auto" w:sz="4" w:space="0"/>
                    <w:bottom w:val="single" w:color="auto" w:sz="4" w:space="0"/>
                    <w:right w:val="single" w:color="auto" w:sz="4" w:space="0"/>
                  </w:tcBorders>
                  <w:vAlign w:val="center"/>
                </w:tcPr>
                <w:p w14:paraId="06D259FD">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地点</w:t>
                  </w:r>
                </w:p>
              </w:tc>
            </w:tr>
            <w:tr w14:paraId="27D4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49" w:type="dxa"/>
                  <w:vMerge w:val="restart"/>
                  <w:tcBorders>
                    <w:top w:val="single" w:color="auto" w:sz="4" w:space="0"/>
                    <w:left w:val="single" w:color="auto" w:sz="4" w:space="0"/>
                    <w:bottom w:val="single" w:color="auto" w:sz="4" w:space="0"/>
                    <w:right w:val="single" w:color="auto" w:sz="4" w:space="0"/>
                  </w:tcBorders>
                  <w:vAlign w:val="center"/>
                </w:tcPr>
                <w:p w14:paraId="0BDDA655">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竞赛日前一天</w:t>
                  </w:r>
                </w:p>
              </w:tc>
              <w:tc>
                <w:tcPr>
                  <w:tcW w:w="1545" w:type="dxa"/>
                  <w:tcBorders>
                    <w:top w:val="single" w:color="auto" w:sz="4" w:space="0"/>
                    <w:left w:val="single" w:color="auto" w:sz="4" w:space="0"/>
                    <w:bottom w:val="single" w:color="auto" w:sz="4" w:space="0"/>
                    <w:right w:val="single" w:color="auto" w:sz="4" w:space="0"/>
                  </w:tcBorders>
                  <w:vAlign w:val="center"/>
                </w:tcPr>
                <w:p w14:paraId="5142C519">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14:30-15:30</w:t>
                  </w:r>
                </w:p>
              </w:tc>
              <w:tc>
                <w:tcPr>
                  <w:tcW w:w="2564" w:type="dxa"/>
                  <w:tcBorders>
                    <w:top w:val="single" w:color="auto" w:sz="4" w:space="0"/>
                    <w:left w:val="single" w:color="auto" w:sz="4" w:space="0"/>
                    <w:bottom w:val="single" w:color="auto" w:sz="4" w:space="0"/>
                    <w:right w:val="single" w:color="auto" w:sz="4" w:space="0"/>
                  </w:tcBorders>
                  <w:vAlign w:val="center"/>
                </w:tcPr>
                <w:p w14:paraId="09902F18">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裁判报到</w:t>
                  </w:r>
                </w:p>
              </w:tc>
              <w:tc>
                <w:tcPr>
                  <w:tcW w:w="2504" w:type="dxa"/>
                  <w:tcBorders>
                    <w:top w:val="single" w:color="auto" w:sz="4" w:space="0"/>
                    <w:left w:val="single" w:color="auto" w:sz="4" w:space="0"/>
                    <w:bottom w:val="single" w:color="auto" w:sz="4" w:space="0"/>
                    <w:right w:val="single" w:color="auto" w:sz="4" w:space="0"/>
                  </w:tcBorders>
                  <w:vAlign w:val="center"/>
                </w:tcPr>
                <w:p w14:paraId="7B6B6B7B">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全体裁判</w:t>
                  </w:r>
                </w:p>
              </w:tc>
              <w:tc>
                <w:tcPr>
                  <w:tcW w:w="858" w:type="dxa"/>
                  <w:tcBorders>
                    <w:top w:val="single" w:color="auto" w:sz="4" w:space="0"/>
                    <w:left w:val="single" w:color="auto" w:sz="4" w:space="0"/>
                    <w:bottom w:val="single" w:color="auto" w:sz="4" w:space="0"/>
                    <w:right w:val="single" w:color="auto" w:sz="4" w:space="0"/>
                  </w:tcBorders>
                  <w:vAlign w:val="center"/>
                </w:tcPr>
                <w:p w14:paraId="63073DA0">
                  <w:pPr>
                    <w:spacing w:before="62" w:after="62" w:line="240" w:lineRule="auto"/>
                    <w:ind w:firstLine="0" w:firstLineChars="0"/>
                    <w:rPr>
                      <w:rFonts w:hint="eastAsia" w:ascii="仿宋" w:hAnsi="仿宋" w:eastAsia="仿宋" w:cs="Arial"/>
                      <w:sz w:val="20"/>
                      <w:szCs w:val="20"/>
                    </w:rPr>
                  </w:pPr>
                </w:p>
              </w:tc>
            </w:tr>
            <w:tr w14:paraId="5CF28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C44893">
                  <w:pPr>
                    <w:widowControl/>
                    <w:spacing w:before="62" w:after="62" w:line="240" w:lineRule="auto"/>
                    <w:ind w:firstLine="400"/>
                    <w:jc w:val="left"/>
                    <w:rPr>
                      <w:rFonts w:hint="eastAsia" w:ascii="仿宋" w:hAnsi="仿宋" w:eastAsia="仿宋" w:cs="Arial"/>
                      <w:sz w:val="20"/>
                      <w:szCs w:val="20"/>
                    </w:rPr>
                  </w:pPr>
                </w:p>
              </w:tc>
              <w:tc>
                <w:tcPr>
                  <w:tcW w:w="1545" w:type="dxa"/>
                  <w:tcBorders>
                    <w:top w:val="single" w:color="auto" w:sz="4" w:space="0"/>
                    <w:left w:val="single" w:color="auto" w:sz="4" w:space="0"/>
                    <w:bottom w:val="single" w:color="auto" w:sz="4" w:space="0"/>
                    <w:right w:val="single" w:color="auto" w:sz="4" w:space="0"/>
                  </w:tcBorders>
                  <w:vAlign w:val="center"/>
                </w:tcPr>
                <w:p w14:paraId="6120F0D0">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14:30-15:30</w:t>
                  </w:r>
                </w:p>
              </w:tc>
              <w:tc>
                <w:tcPr>
                  <w:tcW w:w="2564" w:type="dxa"/>
                  <w:tcBorders>
                    <w:top w:val="single" w:color="auto" w:sz="4" w:space="0"/>
                    <w:left w:val="single" w:color="auto" w:sz="4" w:space="0"/>
                    <w:bottom w:val="single" w:color="auto" w:sz="4" w:space="0"/>
                    <w:right w:val="single" w:color="auto" w:sz="4" w:space="0"/>
                  </w:tcBorders>
                  <w:vAlign w:val="center"/>
                </w:tcPr>
                <w:p w14:paraId="47C34B5B">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各参赛选手报到</w:t>
                  </w:r>
                </w:p>
              </w:tc>
              <w:tc>
                <w:tcPr>
                  <w:tcW w:w="2504" w:type="dxa"/>
                  <w:tcBorders>
                    <w:top w:val="single" w:color="auto" w:sz="4" w:space="0"/>
                    <w:left w:val="single" w:color="auto" w:sz="4" w:space="0"/>
                    <w:bottom w:val="single" w:color="auto" w:sz="4" w:space="0"/>
                    <w:right w:val="single" w:color="auto" w:sz="4" w:space="0"/>
                  </w:tcBorders>
                  <w:vAlign w:val="center"/>
                </w:tcPr>
                <w:p w14:paraId="2A2EBC33">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选手、领队、指导老师</w:t>
                  </w:r>
                </w:p>
              </w:tc>
              <w:tc>
                <w:tcPr>
                  <w:tcW w:w="858" w:type="dxa"/>
                  <w:tcBorders>
                    <w:top w:val="single" w:color="auto" w:sz="4" w:space="0"/>
                    <w:left w:val="single" w:color="auto" w:sz="4" w:space="0"/>
                    <w:bottom w:val="single" w:color="auto" w:sz="4" w:space="0"/>
                    <w:right w:val="single" w:color="auto" w:sz="4" w:space="0"/>
                  </w:tcBorders>
                  <w:vAlign w:val="center"/>
                </w:tcPr>
                <w:p w14:paraId="5DF6B7B5">
                  <w:pPr>
                    <w:spacing w:before="62" w:after="62" w:line="240" w:lineRule="auto"/>
                    <w:ind w:firstLine="0" w:firstLineChars="0"/>
                    <w:rPr>
                      <w:rFonts w:hint="eastAsia" w:ascii="仿宋" w:hAnsi="仿宋" w:eastAsia="仿宋" w:cs="Arial"/>
                      <w:sz w:val="20"/>
                      <w:szCs w:val="20"/>
                    </w:rPr>
                  </w:pPr>
                </w:p>
              </w:tc>
            </w:tr>
            <w:tr w14:paraId="4EF2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FA5D7E7">
                  <w:pPr>
                    <w:widowControl/>
                    <w:spacing w:before="62" w:after="62" w:line="240" w:lineRule="auto"/>
                    <w:ind w:firstLine="400"/>
                    <w:jc w:val="left"/>
                    <w:rPr>
                      <w:rFonts w:hint="eastAsia" w:ascii="仿宋" w:hAnsi="仿宋" w:eastAsia="仿宋" w:cs="Arial"/>
                      <w:sz w:val="20"/>
                      <w:szCs w:val="20"/>
                    </w:rPr>
                  </w:pPr>
                </w:p>
              </w:tc>
              <w:tc>
                <w:tcPr>
                  <w:tcW w:w="1545" w:type="dxa"/>
                  <w:tcBorders>
                    <w:top w:val="single" w:color="auto" w:sz="4" w:space="0"/>
                    <w:left w:val="single" w:color="auto" w:sz="4" w:space="0"/>
                    <w:bottom w:val="single" w:color="auto" w:sz="4" w:space="0"/>
                    <w:right w:val="single" w:color="auto" w:sz="4" w:space="0"/>
                  </w:tcBorders>
                  <w:vAlign w:val="center"/>
                </w:tcPr>
                <w:p w14:paraId="78589CF2">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15:30-17:30</w:t>
                  </w:r>
                </w:p>
              </w:tc>
              <w:tc>
                <w:tcPr>
                  <w:tcW w:w="2564" w:type="dxa"/>
                  <w:tcBorders>
                    <w:top w:val="single" w:color="auto" w:sz="4" w:space="0"/>
                    <w:left w:val="single" w:color="auto" w:sz="4" w:space="0"/>
                    <w:bottom w:val="single" w:color="auto" w:sz="4" w:space="0"/>
                    <w:right w:val="single" w:color="auto" w:sz="4" w:space="0"/>
                  </w:tcBorders>
                  <w:vAlign w:val="center"/>
                </w:tcPr>
                <w:p w14:paraId="7A89DC8F">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召开裁判会、裁判培训、检查竞赛场地、召开领队会、抽场次签</w:t>
                  </w:r>
                </w:p>
              </w:tc>
              <w:tc>
                <w:tcPr>
                  <w:tcW w:w="2504" w:type="dxa"/>
                  <w:tcBorders>
                    <w:top w:val="single" w:color="auto" w:sz="4" w:space="0"/>
                    <w:left w:val="single" w:color="auto" w:sz="4" w:space="0"/>
                    <w:bottom w:val="single" w:color="auto" w:sz="4" w:space="0"/>
                    <w:right w:val="single" w:color="auto" w:sz="4" w:space="0"/>
                  </w:tcBorders>
                  <w:vAlign w:val="center"/>
                </w:tcPr>
                <w:p w14:paraId="15DF427A">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裁判长、裁判员、仲裁委员、领队、督导</w:t>
                  </w:r>
                </w:p>
              </w:tc>
              <w:tc>
                <w:tcPr>
                  <w:tcW w:w="858" w:type="dxa"/>
                  <w:tcBorders>
                    <w:top w:val="single" w:color="auto" w:sz="4" w:space="0"/>
                    <w:left w:val="single" w:color="auto" w:sz="4" w:space="0"/>
                    <w:bottom w:val="single" w:color="auto" w:sz="4" w:space="0"/>
                    <w:right w:val="single" w:color="auto" w:sz="4" w:space="0"/>
                  </w:tcBorders>
                  <w:vAlign w:val="center"/>
                </w:tcPr>
                <w:p w14:paraId="310604C8">
                  <w:pPr>
                    <w:spacing w:before="62" w:after="62" w:line="240" w:lineRule="auto"/>
                    <w:ind w:firstLine="0" w:firstLineChars="0"/>
                    <w:rPr>
                      <w:rFonts w:hint="eastAsia" w:ascii="仿宋" w:hAnsi="仿宋" w:eastAsia="仿宋" w:cs="Arial"/>
                      <w:sz w:val="20"/>
                      <w:szCs w:val="20"/>
                    </w:rPr>
                  </w:pPr>
                </w:p>
              </w:tc>
            </w:tr>
            <w:tr w14:paraId="6C8C2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49" w:type="dxa"/>
                  <w:vMerge w:val="restart"/>
                  <w:tcBorders>
                    <w:top w:val="single" w:color="auto" w:sz="4" w:space="0"/>
                    <w:left w:val="single" w:color="auto" w:sz="4" w:space="0"/>
                    <w:right w:val="single" w:color="auto" w:sz="4" w:space="0"/>
                  </w:tcBorders>
                  <w:vAlign w:val="center"/>
                </w:tcPr>
                <w:p w14:paraId="4030E02E">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竞赛</w:t>
                  </w:r>
                  <w:r>
                    <w:rPr>
                      <w:rFonts w:hint="eastAsia" w:ascii="仿宋" w:hAnsi="仿宋" w:eastAsia="仿宋" w:cs="Arial"/>
                      <w:sz w:val="20"/>
                      <w:szCs w:val="20"/>
                      <w:lang w:val="en-US" w:eastAsia="zh-CN"/>
                    </w:rPr>
                    <w:t>第一</w:t>
                  </w:r>
                  <w:r>
                    <w:rPr>
                      <w:rFonts w:hint="eastAsia" w:ascii="仿宋" w:hAnsi="仿宋" w:eastAsia="仿宋" w:cs="Arial"/>
                      <w:sz w:val="20"/>
                      <w:szCs w:val="20"/>
                    </w:rPr>
                    <w:t>日</w:t>
                  </w:r>
                </w:p>
              </w:tc>
              <w:tc>
                <w:tcPr>
                  <w:tcW w:w="1545" w:type="dxa"/>
                  <w:tcBorders>
                    <w:top w:val="single" w:color="auto" w:sz="4" w:space="0"/>
                    <w:left w:val="single" w:color="auto" w:sz="4" w:space="0"/>
                    <w:bottom w:val="single" w:color="auto" w:sz="4" w:space="0"/>
                    <w:right w:val="single" w:color="auto" w:sz="4" w:space="0"/>
                  </w:tcBorders>
                  <w:vAlign w:val="center"/>
                </w:tcPr>
                <w:p w14:paraId="2E151124">
                  <w:pPr>
                    <w:spacing w:before="62" w:after="62" w:line="240" w:lineRule="auto"/>
                    <w:ind w:firstLine="0" w:firstLineChars="0"/>
                    <w:rPr>
                      <w:rFonts w:hint="default" w:ascii="仿宋" w:hAnsi="仿宋" w:eastAsia="仿宋" w:cs="Arial"/>
                      <w:sz w:val="20"/>
                      <w:szCs w:val="20"/>
                      <w:lang w:val="en-US" w:eastAsia="zh-CN"/>
                    </w:rPr>
                  </w:pPr>
                  <w:r>
                    <w:rPr>
                      <w:rFonts w:hint="eastAsia" w:ascii="仿宋" w:hAnsi="仿宋" w:eastAsia="仿宋" w:cs="Arial"/>
                      <w:sz w:val="20"/>
                      <w:szCs w:val="20"/>
                      <w:lang w:val="en-US" w:eastAsia="zh-CN"/>
                    </w:rPr>
                    <w:t>7</w:t>
                  </w:r>
                  <w:r>
                    <w:rPr>
                      <w:rFonts w:hint="eastAsia" w:ascii="仿宋" w:hAnsi="仿宋" w:eastAsia="仿宋" w:cs="Arial"/>
                      <w:sz w:val="20"/>
                      <w:szCs w:val="20"/>
                    </w:rPr>
                    <w:t>:</w:t>
                  </w:r>
                  <w:r>
                    <w:rPr>
                      <w:rFonts w:hint="eastAsia" w:ascii="仿宋" w:hAnsi="仿宋" w:eastAsia="仿宋" w:cs="Arial"/>
                      <w:sz w:val="20"/>
                      <w:szCs w:val="20"/>
                      <w:lang w:val="en-US" w:eastAsia="zh-CN"/>
                    </w:rPr>
                    <w:t>3</w:t>
                  </w:r>
                  <w:r>
                    <w:rPr>
                      <w:rFonts w:hint="eastAsia" w:ascii="仿宋" w:hAnsi="仿宋" w:eastAsia="仿宋" w:cs="Arial"/>
                      <w:sz w:val="20"/>
                      <w:szCs w:val="20"/>
                    </w:rPr>
                    <w:t>0-</w:t>
                  </w:r>
                  <w:r>
                    <w:rPr>
                      <w:rFonts w:hint="eastAsia" w:ascii="仿宋" w:hAnsi="仿宋" w:eastAsia="仿宋" w:cs="Arial"/>
                      <w:sz w:val="20"/>
                      <w:szCs w:val="20"/>
                      <w:lang w:val="en-US" w:eastAsia="zh-CN"/>
                    </w:rPr>
                    <w:t>8</w:t>
                  </w:r>
                  <w:r>
                    <w:rPr>
                      <w:rFonts w:hint="eastAsia" w:ascii="仿宋" w:hAnsi="仿宋" w:eastAsia="仿宋" w:cs="Arial"/>
                      <w:sz w:val="20"/>
                      <w:szCs w:val="20"/>
                    </w:rPr>
                    <w:t>:</w:t>
                  </w:r>
                  <w:r>
                    <w:rPr>
                      <w:rFonts w:hint="eastAsia" w:ascii="仿宋" w:hAnsi="仿宋" w:eastAsia="仿宋" w:cs="Arial"/>
                      <w:sz w:val="20"/>
                      <w:szCs w:val="20"/>
                      <w:lang w:val="en-US" w:eastAsia="zh-CN"/>
                    </w:rPr>
                    <w:t>00</w:t>
                  </w:r>
                </w:p>
              </w:tc>
              <w:tc>
                <w:tcPr>
                  <w:tcW w:w="2564" w:type="dxa"/>
                  <w:tcBorders>
                    <w:top w:val="single" w:color="auto" w:sz="4" w:space="0"/>
                    <w:left w:val="single" w:color="auto" w:sz="4" w:space="0"/>
                    <w:bottom w:val="single" w:color="auto" w:sz="4" w:space="0"/>
                    <w:right w:val="single" w:color="auto" w:sz="4" w:space="0"/>
                  </w:tcBorders>
                  <w:vAlign w:val="center"/>
                </w:tcPr>
                <w:p w14:paraId="793F500A">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裁判长在监督长监督下，考试题目发布</w:t>
                  </w:r>
                </w:p>
              </w:tc>
              <w:tc>
                <w:tcPr>
                  <w:tcW w:w="2504" w:type="dxa"/>
                  <w:tcBorders>
                    <w:top w:val="single" w:color="auto" w:sz="4" w:space="0"/>
                    <w:left w:val="single" w:color="auto" w:sz="4" w:space="0"/>
                    <w:bottom w:val="single" w:color="auto" w:sz="4" w:space="0"/>
                    <w:right w:val="single" w:color="auto" w:sz="4" w:space="0"/>
                  </w:tcBorders>
                  <w:vAlign w:val="center"/>
                </w:tcPr>
                <w:p w14:paraId="0CEE9828">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参赛选手、裁判长、裁判、督导</w:t>
                  </w:r>
                </w:p>
              </w:tc>
              <w:tc>
                <w:tcPr>
                  <w:tcW w:w="858" w:type="dxa"/>
                  <w:tcBorders>
                    <w:top w:val="single" w:color="auto" w:sz="4" w:space="0"/>
                    <w:left w:val="single" w:color="auto" w:sz="4" w:space="0"/>
                    <w:bottom w:val="single" w:color="auto" w:sz="4" w:space="0"/>
                    <w:right w:val="single" w:color="auto" w:sz="4" w:space="0"/>
                  </w:tcBorders>
                  <w:vAlign w:val="center"/>
                </w:tcPr>
                <w:p w14:paraId="384FE836">
                  <w:pPr>
                    <w:spacing w:before="62" w:after="62" w:line="240" w:lineRule="auto"/>
                    <w:ind w:firstLine="0" w:firstLineChars="0"/>
                    <w:rPr>
                      <w:rFonts w:hint="eastAsia" w:ascii="仿宋" w:hAnsi="仿宋" w:eastAsia="仿宋" w:cs="Arial"/>
                      <w:sz w:val="20"/>
                      <w:szCs w:val="20"/>
                    </w:rPr>
                  </w:pPr>
                </w:p>
              </w:tc>
            </w:tr>
            <w:tr w14:paraId="71DD9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749" w:type="dxa"/>
                  <w:vMerge w:val="continue"/>
                  <w:tcBorders>
                    <w:left w:val="single" w:color="auto" w:sz="4" w:space="0"/>
                    <w:right w:val="single" w:color="auto" w:sz="4" w:space="0"/>
                  </w:tcBorders>
                  <w:vAlign w:val="center"/>
                </w:tcPr>
                <w:p w14:paraId="573AD511">
                  <w:pPr>
                    <w:widowControl/>
                    <w:spacing w:before="62" w:after="62" w:line="240" w:lineRule="auto"/>
                    <w:ind w:firstLine="400"/>
                    <w:jc w:val="left"/>
                    <w:rPr>
                      <w:rFonts w:hint="eastAsia" w:ascii="仿宋" w:hAnsi="仿宋" w:eastAsia="仿宋" w:cs="Arial"/>
                      <w:sz w:val="20"/>
                      <w:szCs w:val="20"/>
                    </w:rPr>
                  </w:pPr>
                </w:p>
              </w:tc>
              <w:tc>
                <w:tcPr>
                  <w:tcW w:w="1545" w:type="dxa"/>
                  <w:tcBorders>
                    <w:top w:val="single" w:color="auto" w:sz="4" w:space="0"/>
                    <w:left w:val="single" w:color="auto" w:sz="4" w:space="0"/>
                    <w:bottom w:val="single" w:color="auto" w:sz="4" w:space="0"/>
                    <w:right w:val="single" w:color="auto" w:sz="4" w:space="0"/>
                  </w:tcBorders>
                  <w:vAlign w:val="center"/>
                </w:tcPr>
                <w:p w14:paraId="070CD8DA">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8:00-1</w:t>
                  </w:r>
                  <w:r>
                    <w:rPr>
                      <w:rFonts w:hint="eastAsia" w:ascii="仿宋" w:hAnsi="仿宋" w:eastAsia="仿宋" w:cs="Arial"/>
                      <w:sz w:val="20"/>
                      <w:szCs w:val="20"/>
                      <w:lang w:val="en-US" w:eastAsia="zh-CN"/>
                    </w:rPr>
                    <w:t>3</w:t>
                  </w:r>
                  <w:r>
                    <w:rPr>
                      <w:rFonts w:hint="eastAsia" w:ascii="仿宋" w:hAnsi="仿宋" w:eastAsia="仿宋" w:cs="Arial"/>
                      <w:sz w:val="20"/>
                      <w:szCs w:val="20"/>
                    </w:rPr>
                    <w:t>:</w:t>
                  </w:r>
                  <w:r>
                    <w:rPr>
                      <w:rFonts w:hint="eastAsia" w:ascii="仿宋" w:hAnsi="仿宋" w:eastAsia="仿宋" w:cs="Arial"/>
                      <w:sz w:val="20"/>
                      <w:szCs w:val="20"/>
                      <w:lang w:val="en-US" w:eastAsia="zh-CN"/>
                    </w:rPr>
                    <w:t>0</w:t>
                  </w:r>
                  <w:r>
                    <w:rPr>
                      <w:rFonts w:hint="eastAsia" w:ascii="仿宋" w:hAnsi="仿宋" w:eastAsia="仿宋" w:cs="Arial"/>
                      <w:sz w:val="20"/>
                      <w:szCs w:val="20"/>
                    </w:rPr>
                    <w:t>0</w:t>
                  </w:r>
                </w:p>
              </w:tc>
              <w:tc>
                <w:tcPr>
                  <w:tcW w:w="2564" w:type="dxa"/>
                  <w:tcBorders>
                    <w:top w:val="single" w:color="auto" w:sz="4" w:space="0"/>
                    <w:left w:val="single" w:color="auto" w:sz="4" w:space="0"/>
                    <w:bottom w:val="single" w:color="auto" w:sz="4" w:space="0"/>
                    <w:right w:val="single" w:color="auto" w:sz="4" w:space="0"/>
                  </w:tcBorders>
                  <w:vAlign w:val="center"/>
                </w:tcPr>
                <w:p w14:paraId="12E7D759">
                  <w:pPr>
                    <w:spacing w:before="62" w:after="62" w:line="240" w:lineRule="auto"/>
                    <w:ind w:firstLine="0" w:firstLineChars="0"/>
                    <w:rPr>
                      <w:rFonts w:hint="default" w:ascii="仿宋" w:hAnsi="仿宋" w:eastAsia="仿宋" w:cs="Arial"/>
                      <w:sz w:val="20"/>
                      <w:szCs w:val="20"/>
                      <w:lang w:val="en-US" w:eastAsia="zh-CN"/>
                    </w:rPr>
                  </w:pPr>
                  <w:r>
                    <w:rPr>
                      <w:rFonts w:hint="eastAsia" w:ascii="仿宋" w:hAnsi="仿宋" w:eastAsia="仿宋" w:cs="Arial"/>
                      <w:sz w:val="20"/>
                      <w:szCs w:val="20"/>
                    </w:rPr>
                    <w:t>指定项目</w:t>
                  </w:r>
                  <w:r>
                    <w:rPr>
                      <w:rFonts w:hint="eastAsia" w:ascii="仿宋" w:hAnsi="仿宋" w:eastAsia="仿宋" w:cs="Arial"/>
                      <w:sz w:val="20"/>
                      <w:szCs w:val="20"/>
                      <w:lang w:val="en-US" w:eastAsia="zh-CN"/>
                    </w:rPr>
                    <w:t>的模块一二三</w:t>
                  </w:r>
                  <w:r>
                    <w:rPr>
                      <w:rFonts w:hint="eastAsia" w:ascii="仿宋" w:hAnsi="仿宋" w:eastAsia="仿宋" w:cs="Arial"/>
                      <w:sz w:val="20"/>
                      <w:szCs w:val="20"/>
                    </w:rPr>
                    <w:t>技能操作竞赛</w:t>
                  </w:r>
                  <w:r>
                    <w:rPr>
                      <w:rFonts w:hint="eastAsia" w:ascii="仿宋" w:hAnsi="仿宋" w:eastAsia="仿宋" w:cs="Arial"/>
                      <w:sz w:val="20"/>
                      <w:szCs w:val="20"/>
                      <w:lang w:eastAsia="zh-CN"/>
                    </w:rPr>
                    <w:t>（</w:t>
                  </w:r>
                  <w:r>
                    <w:rPr>
                      <w:rFonts w:hint="eastAsia" w:ascii="仿宋" w:hAnsi="仿宋" w:eastAsia="仿宋" w:cs="Arial"/>
                      <w:sz w:val="20"/>
                      <w:szCs w:val="20"/>
                      <w:lang w:val="en-US" w:eastAsia="zh-CN"/>
                    </w:rPr>
                    <w:t>根据参赛队人数定比赛场数）</w:t>
                  </w:r>
                </w:p>
              </w:tc>
              <w:tc>
                <w:tcPr>
                  <w:tcW w:w="2504" w:type="dxa"/>
                  <w:tcBorders>
                    <w:top w:val="single" w:color="auto" w:sz="4" w:space="0"/>
                    <w:left w:val="single" w:color="auto" w:sz="4" w:space="0"/>
                    <w:bottom w:val="single" w:color="auto" w:sz="4" w:space="0"/>
                    <w:right w:val="single" w:color="auto" w:sz="4" w:space="0"/>
                  </w:tcBorders>
                  <w:vAlign w:val="center"/>
                </w:tcPr>
                <w:p w14:paraId="633D34FE">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参赛选手、裁判长、裁判、督导</w:t>
                  </w:r>
                </w:p>
              </w:tc>
              <w:tc>
                <w:tcPr>
                  <w:tcW w:w="858" w:type="dxa"/>
                  <w:tcBorders>
                    <w:top w:val="single" w:color="auto" w:sz="4" w:space="0"/>
                    <w:left w:val="single" w:color="auto" w:sz="4" w:space="0"/>
                    <w:bottom w:val="single" w:color="auto" w:sz="4" w:space="0"/>
                    <w:right w:val="single" w:color="auto" w:sz="4" w:space="0"/>
                  </w:tcBorders>
                  <w:vAlign w:val="center"/>
                </w:tcPr>
                <w:p w14:paraId="3E26CEF0">
                  <w:pPr>
                    <w:spacing w:before="62" w:after="62" w:line="240" w:lineRule="auto"/>
                    <w:ind w:firstLine="0" w:firstLineChars="0"/>
                    <w:rPr>
                      <w:rFonts w:hint="eastAsia" w:ascii="仿宋" w:hAnsi="仿宋" w:eastAsia="仿宋" w:cs="Arial"/>
                      <w:sz w:val="20"/>
                      <w:szCs w:val="20"/>
                    </w:rPr>
                  </w:pPr>
                </w:p>
              </w:tc>
            </w:tr>
            <w:tr w14:paraId="3D6D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749" w:type="dxa"/>
                  <w:vMerge w:val="continue"/>
                  <w:tcBorders>
                    <w:left w:val="single" w:color="auto" w:sz="4" w:space="0"/>
                    <w:right w:val="single" w:color="auto" w:sz="4" w:space="0"/>
                  </w:tcBorders>
                  <w:vAlign w:val="center"/>
                </w:tcPr>
                <w:p w14:paraId="0A987930">
                  <w:pPr>
                    <w:widowControl/>
                    <w:spacing w:before="62" w:after="62" w:line="240" w:lineRule="auto"/>
                    <w:ind w:firstLine="400"/>
                    <w:jc w:val="left"/>
                    <w:rPr>
                      <w:rFonts w:hint="eastAsia" w:ascii="仿宋" w:hAnsi="仿宋" w:eastAsia="仿宋" w:cs="Arial"/>
                      <w:sz w:val="20"/>
                      <w:szCs w:val="20"/>
                    </w:rPr>
                  </w:pPr>
                </w:p>
              </w:tc>
              <w:tc>
                <w:tcPr>
                  <w:tcW w:w="1545" w:type="dxa"/>
                  <w:tcBorders>
                    <w:top w:val="single" w:color="auto" w:sz="4" w:space="0"/>
                    <w:left w:val="single" w:color="auto" w:sz="4" w:space="0"/>
                    <w:bottom w:val="single" w:color="auto" w:sz="4" w:space="0"/>
                    <w:right w:val="single" w:color="auto" w:sz="4" w:space="0"/>
                  </w:tcBorders>
                  <w:vAlign w:val="center"/>
                </w:tcPr>
                <w:p w14:paraId="166DD126">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14:00-18:00</w:t>
                  </w:r>
                </w:p>
              </w:tc>
              <w:tc>
                <w:tcPr>
                  <w:tcW w:w="2564" w:type="dxa"/>
                  <w:tcBorders>
                    <w:top w:val="single" w:color="auto" w:sz="4" w:space="0"/>
                    <w:left w:val="single" w:color="auto" w:sz="4" w:space="0"/>
                    <w:bottom w:val="single" w:color="auto" w:sz="4" w:space="0"/>
                    <w:right w:val="single" w:color="auto" w:sz="4" w:space="0"/>
                  </w:tcBorders>
                  <w:vAlign w:val="center"/>
                </w:tcPr>
                <w:p w14:paraId="0DFD66D0">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lang w:val="en-US" w:eastAsia="zh-CN"/>
                    </w:rPr>
                    <w:t>指定项目模块四</w:t>
                  </w:r>
                  <w:r>
                    <w:rPr>
                      <w:rFonts w:hint="eastAsia" w:ascii="仿宋" w:hAnsi="仿宋" w:eastAsia="仿宋" w:cs="Arial"/>
                      <w:sz w:val="20"/>
                      <w:szCs w:val="20"/>
                    </w:rPr>
                    <w:t>竞赛</w:t>
                  </w:r>
                </w:p>
              </w:tc>
              <w:tc>
                <w:tcPr>
                  <w:tcW w:w="2504" w:type="dxa"/>
                  <w:tcBorders>
                    <w:top w:val="single" w:color="auto" w:sz="4" w:space="0"/>
                    <w:left w:val="single" w:color="auto" w:sz="4" w:space="0"/>
                    <w:bottom w:val="single" w:color="auto" w:sz="4" w:space="0"/>
                    <w:right w:val="single" w:color="auto" w:sz="4" w:space="0"/>
                  </w:tcBorders>
                  <w:vAlign w:val="center"/>
                </w:tcPr>
                <w:p w14:paraId="4D5E0264">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参赛选手、裁判长、裁判、督导</w:t>
                  </w:r>
                </w:p>
              </w:tc>
              <w:tc>
                <w:tcPr>
                  <w:tcW w:w="858" w:type="dxa"/>
                  <w:tcBorders>
                    <w:top w:val="single" w:color="auto" w:sz="4" w:space="0"/>
                    <w:left w:val="single" w:color="auto" w:sz="4" w:space="0"/>
                    <w:bottom w:val="single" w:color="auto" w:sz="4" w:space="0"/>
                    <w:right w:val="single" w:color="auto" w:sz="4" w:space="0"/>
                  </w:tcBorders>
                  <w:vAlign w:val="center"/>
                </w:tcPr>
                <w:p w14:paraId="2A8EA573">
                  <w:pPr>
                    <w:spacing w:before="62" w:after="62" w:line="240" w:lineRule="auto"/>
                    <w:ind w:firstLine="0" w:firstLineChars="0"/>
                    <w:rPr>
                      <w:rFonts w:hint="eastAsia" w:ascii="仿宋" w:hAnsi="仿宋" w:eastAsia="仿宋" w:cs="Arial"/>
                      <w:sz w:val="20"/>
                      <w:szCs w:val="20"/>
                    </w:rPr>
                  </w:pPr>
                </w:p>
              </w:tc>
            </w:tr>
            <w:tr w14:paraId="59E6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49" w:type="dxa"/>
                  <w:vMerge w:val="continue"/>
                  <w:tcBorders>
                    <w:left w:val="single" w:color="auto" w:sz="4" w:space="0"/>
                    <w:right w:val="single" w:color="auto" w:sz="4" w:space="0"/>
                  </w:tcBorders>
                  <w:vAlign w:val="center"/>
                </w:tcPr>
                <w:p w14:paraId="5E215770">
                  <w:pPr>
                    <w:widowControl/>
                    <w:spacing w:before="62" w:after="62" w:line="240" w:lineRule="auto"/>
                    <w:ind w:firstLine="400"/>
                    <w:jc w:val="left"/>
                    <w:rPr>
                      <w:rFonts w:hint="eastAsia" w:ascii="仿宋" w:hAnsi="仿宋" w:eastAsia="仿宋" w:cs="Arial"/>
                      <w:sz w:val="20"/>
                      <w:szCs w:val="20"/>
                    </w:rPr>
                  </w:pPr>
                </w:p>
              </w:tc>
              <w:tc>
                <w:tcPr>
                  <w:tcW w:w="1545" w:type="dxa"/>
                  <w:tcBorders>
                    <w:top w:val="single" w:color="auto" w:sz="4" w:space="0"/>
                    <w:left w:val="single" w:color="auto" w:sz="4" w:space="0"/>
                    <w:bottom w:val="single" w:color="auto" w:sz="4" w:space="0"/>
                    <w:right w:val="single" w:color="auto" w:sz="4" w:space="0"/>
                  </w:tcBorders>
                  <w:vAlign w:val="center"/>
                </w:tcPr>
                <w:p w14:paraId="40245C66">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1</w:t>
                  </w:r>
                  <w:r>
                    <w:rPr>
                      <w:rFonts w:hint="eastAsia" w:ascii="仿宋" w:hAnsi="仿宋" w:eastAsia="仿宋" w:cs="Arial"/>
                      <w:sz w:val="20"/>
                      <w:szCs w:val="20"/>
                      <w:lang w:val="en-US" w:eastAsia="zh-CN"/>
                    </w:rPr>
                    <w:t>8</w:t>
                  </w:r>
                  <w:r>
                    <w:rPr>
                      <w:rFonts w:hint="eastAsia" w:ascii="仿宋" w:hAnsi="仿宋" w:eastAsia="仿宋" w:cs="Arial"/>
                      <w:sz w:val="20"/>
                      <w:szCs w:val="20"/>
                    </w:rPr>
                    <w:t>:00-1</w:t>
                  </w:r>
                  <w:r>
                    <w:rPr>
                      <w:rFonts w:hint="eastAsia" w:ascii="仿宋" w:hAnsi="仿宋" w:eastAsia="仿宋" w:cs="Arial"/>
                      <w:sz w:val="20"/>
                      <w:szCs w:val="20"/>
                      <w:lang w:val="en-US" w:eastAsia="zh-CN"/>
                    </w:rPr>
                    <w:t>9</w:t>
                  </w:r>
                  <w:r>
                    <w:rPr>
                      <w:rFonts w:hint="eastAsia" w:ascii="仿宋" w:hAnsi="仿宋" w:eastAsia="仿宋" w:cs="Arial"/>
                      <w:sz w:val="20"/>
                      <w:szCs w:val="20"/>
                    </w:rPr>
                    <w:t>:00</w:t>
                  </w:r>
                </w:p>
              </w:tc>
              <w:tc>
                <w:tcPr>
                  <w:tcW w:w="2564" w:type="dxa"/>
                  <w:tcBorders>
                    <w:top w:val="single" w:color="auto" w:sz="4" w:space="0"/>
                    <w:left w:val="single" w:color="auto" w:sz="4" w:space="0"/>
                    <w:bottom w:val="single" w:color="auto" w:sz="4" w:space="0"/>
                    <w:right w:val="single" w:color="auto" w:sz="4" w:space="0"/>
                  </w:tcBorders>
                  <w:vAlign w:val="center"/>
                </w:tcPr>
                <w:p w14:paraId="4DF9806F">
                  <w:pPr>
                    <w:spacing w:before="62" w:after="62" w:line="240" w:lineRule="auto"/>
                    <w:ind w:firstLine="0" w:firstLineChars="0"/>
                    <w:rPr>
                      <w:rFonts w:hint="default" w:ascii="仿宋" w:hAnsi="仿宋" w:eastAsia="仿宋" w:cs="Arial"/>
                      <w:sz w:val="20"/>
                      <w:szCs w:val="20"/>
                      <w:lang w:val="en-US" w:eastAsia="zh-CN"/>
                    </w:rPr>
                  </w:pPr>
                  <w:r>
                    <w:rPr>
                      <w:rFonts w:hint="eastAsia" w:ascii="仿宋" w:hAnsi="仿宋" w:eastAsia="仿宋" w:cs="Arial"/>
                      <w:sz w:val="20"/>
                      <w:szCs w:val="20"/>
                      <w:lang w:val="en-US" w:eastAsia="zh-CN"/>
                    </w:rPr>
                    <w:t>汇总自选模块分数，</w:t>
                  </w:r>
                  <w:r>
                    <w:rPr>
                      <w:rFonts w:hint="eastAsia" w:ascii="仿宋" w:hAnsi="仿宋" w:eastAsia="仿宋" w:cs="Arial"/>
                      <w:sz w:val="20"/>
                      <w:szCs w:val="20"/>
                    </w:rPr>
                    <w:t>封存</w:t>
                  </w:r>
                </w:p>
              </w:tc>
              <w:tc>
                <w:tcPr>
                  <w:tcW w:w="2504" w:type="dxa"/>
                  <w:tcBorders>
                    <w:top w:val="single" w:color="auto" w:sz="4" w:space="0"/>
                    <w:left w:val="single" w:color="auto" w:sz="4" w:space="0"/>
                    <w:bottom w:val="single" w:color="auto" w:sz="4" w:space="0"/>
                    <w:right w:val="single" w:color="auto" w:sz="4" w:space="0"/>
                  </w:tcBorders>
                  <w:vAlign w:val="center"/>
                </w:tcPr>
                <w:p w14:paraId="77C0F1D2">
                  <w:pPr>
                    <w:spacing w:before="62" w:after="62" w:line="240" w:lineRule="auto"/>
                    <w:ind w:firstLine="0" w:firstLineChars="0"/>
                    <w:rPr>
                      <w:rFonts w:hint="eastAsia" w:ascii="仿宋" w:hAnsi="仿宋" w:eastAsia="仿宋" w:cs="Arial"/>
                      <w:sz w:val="20"/>
                      <w:szCs w:val="20"/>
                      <w:lang w:val="en-US" w:eastAsia="zh-CN"/>
                    </w:rPr>
                  </w:pPr>
                  <w:r>
                    <w:rPr>
                      <w:rFonts w:hint="eastAsia" w:ascii="仿宋" w:hAnsi="仿宋" w:eastAsia="仿宋" w:cs="Arial"/>
                      <w:sz w:val="20"/>
                      <w:szCs w:val="20"/>
                    </w:rPr>
                    <w:t>督导、仲裁员、裁判</w:t>
                  </w:r>
                  <w:r>
                    <w:rPr>
                      <w:rFonts w:hint="eastAsia" w:ascii="仿宋" w:hAnsi="仿宋" w:eastAsia="仿宋" w:cs="Arial"/>
                      <w:sz w:val="20"/>
                      <w:szCs w:val="20"/>
                      <w:lang w:val="en-US" w:eastAsia="zh-CN"/>
                    </w:rPr>
                    <w:t>长</w:t>
                  </w:r>
                </w:p>
              </w:tc>
              <w:tc>
                <w:tcPr>
                  <w:tcW w:w="858" w:type="dxa"/>
                  <w:tcBorders>
                    <w:top w:val="single" w:color="auto" w:sz="4" w:space="0"/>
                    <w:left w:val="single" w:color="auto" w:sz="4" w:space="0"/>
                    <w:bottom w:val="single" w:color="auto" w:sz="4" w:space="0"/>
                    <w:right w:val="single" w:color="auto" w:sz="4" w:space="0"/>
                  </w:tcBorders>
                  <w:vAlign w:val="center"/>
                </w:tcPr>
                <w:p w14:paraId="4009FAC7">
                  <w:pPr>
                    <w:spacing w:before="62" w:after="62" w:line="240" w:lineRule="auto"/>
                    <w:ind w:firstLine="0" w:firstLineChars="0"/>
                    <w:rPr>
                      <w:rFonts w:hint="eastAsia" w:ascii="仿宋" w:hAnsi="仿宋" w:eastAsia="仿宋" w:cs="Arial"/>
                      <w:sz w:val="20"/>
                      <w:szCs w:val="20"/>
                    </w:rPr>
                  </w:pPr>
                </w:p>
              </w:tc>
            </w:tr>
            <w:tr w14:paraId="1B00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49" w:type="dxa"/>
                  <w:vMerge w:val="restart"/>
                  <w:tcBorders>
                    <w:left w:val="single" w:color="auto" w:sz="4" w:space="0"/>
                    <w:right w:val="single" w:color="auto" w:sz="4" w:space="0"/>
                  </w:tcBorders>
                  <w:vAlign w:val="center"/>
                </w:tcPr>
                <w:p w14:paraId="509B2361">
                  <w:pPr>
                    <w:widowControl/>
                    <w:spacing w:before="62" w:after="62" w:line="240" w:lineRule="auto"/>
                    <w:ind w:left="0" w:leftChars="0" w:firstLine="0" w:firstLineChars="0"/>
                    <w:jc w:val="left"/>
                    <w:rPr>
                      <w:rFonts w:hint="default" w:ascii="仿宋" w:hAnsi="仿宋" w:eastAsia="仿宋" w:cs="Arial"/>
                      <w:sz w:val="20"/>
                      <w:szCs w:val="20"/>
                      <w:lang w:val="en-US" w:eastAsia="zh-CN"/>
                    </w:rPr>
                  </w:pPr>
                  <w:r>
                    <w:rPr>
                      <w:rFonts w:hint="eastAsia" w:ascii="仿宋" w:hAnsi="仿宋" w:eastAsia="仿宋" w:cs="Arial"/>
                      <w:sz w:val="20"/>
                      <w:szCs w:val="20"/>
                      <w:lang w:val="en-US" w:eastAsia="zh-CN"/>
                    </w:rPr>
                    <w:t>竞赛第二日</w:t>
                  </w:r>
                </w:p>
              </w:tc>
              <w:tc>
                <w:tcPr>
                  <w:tcW w:w="1545" w:type="dxa"/>
                  <w:tcBorders>
                    <w:top w:val="single" w:color="auto" w:sz="4" w:space="0"/>
                    <w:left w:val="single" w:color="auto" w:sz="4" w:space="0"/>
                    <w:bottom w:val="single" w:color="auto" w:sz="4" w:space="0"/>
                    <w:right w:val="single" w:color="auto" w:sz="4" w:space="0"/>
                  </w:tcBorders>
                  <w:vAlign w:val="center"/>
                </w:tcPr>
                <w:p w14:paraId="6AA93054">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7:</w:t>
                  </w:r>
                  <w:r>
                    <w:rPr>
                      <w:rFonts w:hint="eastAsia" w:ascii="仿宋" w:hAnsi="仿宋" w:eastAsia="仿宋" w:cs="Arial"/>
                      <w:sz w:val="20"/>
                      <w:szCs w:val="20"/>
                      <w:lang w:val="en-US" w:eastAsia="zh-CN"/>
                    </w:rPr>
                    <w:t>3</w:t>
                  </w:r>
                  <w:r>
                    <w:rPr>
                      <w:rFonts w:hint="eastAsia" w:ascii="仿宋" w:hAnsi="仿宋" w:eastAsia="仿宋" w:cs="Arial"/>
                      <w:sz w:val="20"/>
                      <w:szCs w:val="20"/>
                    </w:rPr>
                    <w:t>0-8:00</w:t>
                  </w:r>
                </w:p>
              </w:tc>
              <w:tc>
                <w:tcPr>
                  <w:tcW w:w="2564" w:type="dxa"/>
                  <w:tcBorders>
                    <w:top w:val="single" w:color="auto" w:sz="4" w:space="0"/>
                    <w:left w:val="single" w:color="auto" w:sz="4" w:space="0"/>
                    <w:bottom w:val="single" w:color="auto" w:sz="4" w:space="0"/>
                    <w:right w:val="single" w:color="auto" w:sz="4" w:space="0"/>
                  </w:tcBorders>
                  <w:vAlign w:val="center"/>
                </w:tcPr>
                <w:p w14:paraId="77AFFC86">
                  <w:pPr>
                    <w:spacing w:before="62" w:after="62" w:line="240" w:lineRule="auto"/>
                    <w:ind w:firstLine="0" w:firstLineChars="0"/>
                    <w:rPr>
                      <w:rFonts w:hint="eastAsia" w:ascii="仿宋" w:hAnsi="仿宋" w:eastAsia="仿宋" w:cs="Arial"/>
                      <w:sz w:val="20"/>
                      <w:szCs w:val="20"/>
                      <w:lang w:eastAsia="zh-CN"/>
                    </w:rPr>
                  </w:pPr>
                  <w:r>
                    <w:rPr>
                      <w:rFonts w:hint="eastAsia" w:ascii="仿宋" w:hAnsi="仿宋" w:eastAsia="仿宋" w:cs="Arial"/>
                      <w:sz w:val="20"/>
                      <w:szCs w:val="20"/>
                      <w:lang w:val="en-US" w:eastAsia="zh-CN"/>
                    </w:rPr>
                    <w:t>签到</w:t>
                  </w:r>
                </w:p>
              </w:tc>
              <w:tc>
                <w:tcPr>
                  <w:tcW w:w="2504" w:type="dxa"/>
                  <w:tcBorders>
                    <w:top w:val="single" w:color="auto" w:sz="4" w:space="0"/>
                    <w:left w:val="single" w:color="auto" w:sz="4" w:space="0"/>
                    <w:bottom w:val="single" w:color="auto" w:sz="4" w:space="0"/>
                    <w:right w:val="single" w:color="auto" w:sz="4" w:space="0"/>
                  </w:tcBorders>
                  <w:vAlign w:val="center"/>
                </w:tcPr>
                <w:p w14:paraId="3577A41B">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参赛选手、裁判长、裁判、督导</w:t>
                  </w:r>
                </w:p>
              </w:tc>
              <w:tc>
                <w:tcPr>
                  <w:tcW w:w="858" w:type="dxa"/>
                  <w:tcBorders>
                    <w:top w:val="single" w:color="auto" w:sz="4" w:space="0"/>
                    <w:left w:val="single" w:color="auto" w:sz="4" w:space="0"/>
                    <w:bottom w:val="single" w:color="auto" w:sz="4" w:space="0"/>
                    <w:right w:val="single" w:color="auto" w:sz="4" w:space="0"/>
                  </w:tcBorders>
                  <w:vAlign w:val="center"/>
                </w:tcPr>
                <w:p w14:paraId="49DF6A5D">
                  <w:pPr>
                    <w:spacing w:before="62" w:after="62" w:line="240" w:lineRule="auto"/>
                    <w:ind w:firstLine="0" w:firstLineChars="0"/>
                    <w:rPr>
                      <w:rFonts w:hint="eastAsia" w:ascii="仿宋" w:hAnsi="仿宋" w:eastAsia="仿宋" w:cs="Arial"/>
                      <w:sz w:val="20"/>
                      <w:szCs w:val="20"/>
                    </w:rPr>
                  </w:pPr>
                </w:p>
              </w:tc>
            </w:tr>
            <w:tr w14:paraId="47F00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49" w:type="dxa"/>
                  <w:vMerge w:val="continue"/>
                  <w:tcBorders>
                    <w:left w:val="single" w:color="auto" w:sz="4" w:space="0"/>
                    <w:right w:val="single" w:color="auto" w:sz="4" w:space="0"/>
                  </w:tcBorders>
                  <w:vAlign w:val="center"/>
                </w:tcPr>
                <w:p w14:paraId="154E0E8B">
                  <w:pPr>
                    <w:widowControl/>
                    <w:spacing w:before="62" w:after="62" w:line="240" w:lineRule="auto"/>
                    <w:ind w:firstLine="400"/>
                    <w:jc w:val="left"/>
                    <w:rPr>
                      <w:rFonts w:hint="eastAsia" w:ascii="仿宋" w:hAnsi="仿宋" w:eastAsia="仿宋" w:cs="Arial"/>
                      <w:sz w:val="20"/>
                      <w:szCs w:val="20"/>
                    </w:rPr>
                  </w:pPr>
                </w:p>
              </w:tc>
              <w:tc>
                <w:tcPr>
                  <w:tcW w:w="1545" w:type="dxa"/>
                  <w:tcBorders>
                    <w:top w:val="single" w:color="auto" w:sz="4" w:space="0"/>
                    <w:left w:val="single" w:color="auto" w:sz="4" w:space="0"/>
                    <w:bottom w:val="single" w:color="auto" w:sz="4" w:space="0"/>
                    <w:right w:val="single" w:color="auto" w:sz="4" w:space="0"/>
                  </w:tcBorders>
                  <w:vAlign w:val="center"/>
                </w:tcPr>
                <w:p w14:paraId="6E90974D">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8：00-15：00</w:t>
                  </w:r>
                </w:p>
              </w:tc>
              <w:tc>
                <w:tcPr>
                  <w:tcW w:w="2564" w:type="dxa"/>
                  <w:tcBorders>
                    <w:top w:val="single" w:color="auto" w:sz="4" w:space="0"/>
                    <w:left w:val="single" w:color="auto" w:sz="4" w:space="0"/>
                    <w:bottom w:val="single" w:color="auto" w:sz="4" w:space="0"/>
                    <w:right w:val="single" w:color="auto" w:sz="4" w:space="0"/>
                  </w:tcBorders>
                  <w:vAlign w:val="center"/>
                </w:tcPr>
                <w:p w14:paraId="3C0956A4">
                  <w:pPr>
                    <w:spacing w:before="62" w:after="62" w:line="240" w:lineRule="auto"/>
                    <w:ind w:firstLine="0" w:firstLineChars="0"/>
                    <w:rPr>
                      <w:rFonts w:hint="default" w:ascii="仿宋" w:hAnsi="仿宋" w:eastAsia="仿宋" w:cs="Arial"/>
                      <w:sz w:val="20"/>
                      <w:szCs w:val="20"/>
                      <w:lang w:val="en-US" w:eastAsia="zh-CN"/>
                    </w:rPr>
                  </w:pPr>
                  <w:r>
                    <w:rPr>
                      <w:rFonts w:hint="eastAsia" w:ascii="仿宋" w:hAnsi="仿宋" w:eastAsia="仿宋" w:cs="Arial"/>
                      <w:sz w:val="20"/>
                      <w:szCs w:val="20"/>
                    </w:rPr>
                    <w:t>自选项目竞赛</w:t>
                  </w:r>
                  <w:r>
                    <w:rPr>
                      <w:rFonts w:hint="eastAsia" w:ascii="仿宋" w:hAnsi="仿宋" w:eastAsia="仿宋" w:cs="Arial"/>
                      <w:sz w:val="20"/>
                      <w:szCs w:val="20"/>
                      <w:lang w:eastAsia="zh-CN"/>
                    </w:rPr>
                    <w:t>（</w:t>
                  </w:r>
                  <w:r>
                    <w:rPr>
                      <w:rFonts w:hint="eastAsia" w:ascii="仿宋" w:hAnsi="仿宋" w:eastAsia="仿宋" w:cs="Arial"/>
                      <w:sz w:val="20"/>
                      <w:szCs w:val="20"/>
                      <w:lang w:val="en-US" w:eastAsia="zh-CN"/>
                    </w:rPr>
                    <w:t>抽签、现场展示比赛）</w:t>
                  </w:r>
                </w:p>
              </w:tc>
              <w:tc>
                <w:tcPr>
                  <w:tcW w:w="2504" w:type="dxa"/>
                  <w:tcBorders>
                    <w:top w:val="single" w:color="auto" w:sz="4" w:space="0"/>
                    <w:left w:val="single" w:color="auto" w:sz="4" w:space="0"/>
                    <w:bottom w:val="single" w:color="auto" w:sz="4" w:space="0"/>
                    <w:right w:val="single" w:color="auto" w:sz="4" w:space="0"/>
                  </w:tcBorders>
                  <w:vAlign w:val="center"/>
                </w:tcPr>
                <w:p w14:paraId="4D4D9A2F">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参赛选手、裁判长、裁判、督导</w:t>
                  </w:r>
                </w:p>
              </w:tc>
              <w:tc>
                <w:tcPr>
                  <w:tcW w:w="858" w:type="dxa"/>
                  <w:tcBorders>
                    <w:top w:val="single" w:color="auto" w:sz="4" w:space="0"/>
                    <w:left w:val="single" w:color="auto" w:sz="4" w:space="0"/>
                    <w:bottom w:val="single" w:color="auto" w:sz="4" w:space="0"/>
                    <w:right w:val="single" w:color="auto" w:sz="4" w:space="0"/>
                  </w:tcBorders>
                  <w:vAlign w:val="center"/>
                </w:tcPr>
                <w:p w14:paraId="3520D74A">
                  <w:pPr>
                    <w:spacing w:before="62" w:after="62" w:line="240" w:lineRule="auto"/>
                    <w:ind w:firstLine="0" w:firstLineChars="0"/>
                    <w:rPr>
                      <w:rFonts w:hint="eastAsia" w:ascii="仿宋" w:hAnsi="仿宋" w:eastAsia="仿宋" w:cs="Arial"/>
                      <w:sz w:val="20"/>
                      <w:szCs w:val="20"/>
                    </w:rPr>
                  </w:pPr>
                </w:p>
              </w:tc>
            </w:tr>
            <w:tr w14:paraId="3874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749" w:type="dxa"/>
                  <w:vMerge w:val="continue"/>
                  <w:tcBorders>
                    <w:left w:val="single" w:color="auto" w:sz="4" w:space="0"/>
                    <w:right w:val="single" w:color="auto" w:sz="4" w:space="0"/>
                  </w:tcBorders>
                  <w:vAlign w:val="center"/>
                </w:tcPr>
                <w:p w14:paraId="796DBC6F">
                  <w:pPr>
                    <w:widowControl/>
                    <w:spacing w:before="62" w:after="62" w:line="240" w:lineRule="auto"/>
                    <w:ind w:firstLine="400"/>
                    <w:jc w:val="left"/>
                    <w:rPr>
                      <w:rFonts w:hint="eastAsia" w:ascii="仿宋" w:hAnsi="仿宋" w:eastAsia="仿宋" w:cs="Arial"/>
                      <w:sz w:val="20"/>
                      <w:szCs w:val="20"/>
                    </w:rPr>
                  </w:pPr>
                </w:p>
              </w:tc>
              <w:tc>
                <w:tcPr>
                  <w:tcW w:w="1545" w:type="dxa"/>
                  <w:tcBorders>
                    <w:top w:val="single" w:color="auto" w:sz="4" w:space="0"/>
                    <w:left w:val="single" w:color="auto" w:sz="4" w:space="0"/>
                    <w:bottom w:val="single" w:color="auto" w:sz="4" w:space="0"/>
                    <w:right w:val="single" w:color="auto" w:sz="4" w:space="0"/>
                  </w:tcBorders>
                  <w:vAlign w:val="center"/>
                </w:tcPr>
                <w:p w14:paraId="01E2FA12">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15:00-18:00</w:t>
                  </w:r>
                </w:p>
              </w:tc>
              <w:tc>
                <w:tcPr>
                  <w:tcW w:w="2564" w:type="dxa"/>
                  <w:tcBorders>
                    <w:top w:val="single" w:color="auto" w:sz="4" w:space="0"/>
                    <w:left w:val="single" w:color="auto" w:sz="4" w:space="0"/>
                    <w:bottom w:val="single" w:color="auto" w:sz="4" w:space="0"/>
                    <w:right w:val="single" w:color="auto" w:sz="4" w:space="0"/>
                  </w:tcBorders>
                  <w:vAlign w:val="center"/>
                </w:tcPr>
                <w:p w14:paraId="7BA02EDF">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汇总成绩上报、裁判长宣读自选</w:t>
                  </w:r>
                  <w:r>
                    <w:rPr>
                      <w:rFonts w:hint="eastAsia" w:ascii="仿宋" w:hAnsi="仿宋" w:eastAsia="仿宋" w:cs="Arial"/>
                      <w:sz w:val="20"/>
                      <w:szCs w:val="20"/>
                      <w:lang w:val="en-US" w:eastAsia="zh-CN"/>
                    </w:rPr>
                    <w:t>项目的</w:t>
                  </w:r>
                  <w:bookmarkStart w:id="2" w:name="_GoBack"/>
                  <w:bookmarkEnd w:id="2"/>
                  <w:r>
                    <w:rPr>
                      <w:rFonts w:hint="eastAsia" w:ascii="仿宋" w:hAnsi="仿宋" w:eastAsia="仿宋" w:cs="Arial"/>
                      <w:sz w:val="20"/>
                      <w:szCs w:val="20"/>
                    </w:rPr>
                    <w:t>成绩</w:t>
                  </w:r>
                </w:p>
              </w:tc>
              <w:tc>
                <w:tcPr>
                  <w:tcW w:w="2504" w:type="dxa"/>
                  <w:tcBorders>
                    <w:top w:val="single" w:color="auto" w:sz="4" w:space="0"/>
                    <w:left w:val="single" w:color="auto" w:sz="4" w:space="0"/>
                    <w:bottom w:val="single" w:color="auto" w:sz="4" w:space="0"/>
                    <w:right w:val="single" w:color="auto" w:sz="4" w:space="0"/>
                  </w:tcBorders>
                  <w:vAlign w:val="center"/>
                </w:tcPr>
                <w:p w14:paraId="4B3312E8">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督导、仲裁员、裁判长</w:t>
                  </w:r>
                </w:p>
              </w:tc>
              <w:tc>
                <w:tcPr>
                  <w:tcW w:w="858" w:type="dxa"/>
                  <w:tcBorders>
                    <w:top w:val="single" w:color="auto" w:sz="4" w:space="0"/>
                    <w:left w:val="single" w:color="auto" w:sz="4" w:space="0"/>
                    <w:bottom w:val="single" w:color="auto" w:sz="4" w:space="0"/>
                    <w:right w:val="single" w:color="auto" w:sz="4" w:space="0"/>
                  </w:tcBorders>
                  <w:vAlign w:val="center"/>
                </w:tcPr>
                <w:p w14:paraId="01691C70">
                  <w:pPr>
                    <w:spacing w:before="62" w:after="62" w:line="240" w:lineRule="auto"/>
                    <w:ind w:firstLine="0" w:firstLineChars="0"/>
                    <w:rPr>
                      <w:rFonts w:hint="eastAsia" w:ascii="仿宋" w:hAnsi="仿宋" w:eastAsia="仿宋" w:cs="Arial"/>
                      <w:sz w:val="20"/>
                      <w:szCs w:val="20"/>
                    </w:rPr>
                  </w:pPr>
                </w:p>
              </w:tc>
            </w:tr>
            <w:tr w14:paraId="3743A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749" w:type="dxa"/>
                  <w:vMerge w:val="continue"/>
                  <w:tcBorders>
                    <w:left w:val="single" w:color="auto" w:sz="4" w:space="0"/>
                    <w:bottom w:val="single" w:color="auto" w:sz="4" w:space="0"/>
                    <w:right w:val="single" w:color="auto" w:sz="4" w:space="0"/>
                  </w:tcBorders>
                  <w:vAlign w:val="center"/>
                </w:tcPr>
                <w:p w14:paraId="1E2DE9E7">
                  <w:pPr>
                    <w:widowControl/>
                    <w:spacing w:before="62" w:after="62" w:line="240" w:lineRule="auto"/>
                    <w:ind w:firstLine="400"/>
                    <w:jc w:val="left"/>
                    <w:rPr>
                      <w:rFonts w:hint="eastAsia" w:ascii="仿宋" w:hAnsi="仿宋" w:eastAsia="仿宋" w:cs="Arial"/>
                      <w:sz w:val="20"/>
                      <w:szCs w:val="20"/>
                    </w:rPr>
                  </w:pPr>
                </w:p>
              </w:tc>
              <w:tc>
                <w:tcPr>
                  <w:tcW w:w="1545" w:type="dxa"/>
                  <w:tcBorders>
                    <w:top w:val="single" w:color="auto" w:sz="4" w:space="0"/>
                    <w:left w:val="single" w:color="auto" w:sz="4" w:space="0"/>
                    <w:bottom w:val="single" w:color="auto" w:sz="4" w:space="0"/>
                    <w:right w:val="single" w:color="auto" w:sz="4" w:space="0"/>
                  </w:tcBorders>
                  <w:vAlign w:val="center"/>
                </w:tcPr>
                <w:p w14:paraId="62730082">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18:00-21:00</w:t>
                  </w:r>
                </w:p>
              </w:tc>
              <w:tc>
                <w:tcPr>
                  <w:tcW w:w="2564" w:type="dxa"/>
                  <w:tcBorders>
                    <w:top w:val="single" w:color="auto" w:sz="4" w:space="0"/>
                    <w:left w:val="single" w:color="auto" w:sz="4" w:space="0"/>
                    <w:bottom w:val="single" w:color="auto" w:sz="4" w:space="0"/>
                    <w:right w:val="single" w:color="auto" w:sz="4" w:space="0"/>
                  </w:tcBorders>
                  <w:vAlign w:val="center"/>
                </w:tcPr>
                <w:p w14:paraId="70E760E7">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汇总两项成绩、上报、裁判长宣读最终成绩</w:t>
                  </w:r>
                </w:p>
              </w:tc>
              <w:tc>
                <w:tcPr>
                  <w:tcW w:w="2504" w:type="dxa"/>
                  <w:tcBorders>
                    <w:top w:val="single" w:color="auto" w:sz="4" w:space="0"/>
                    <w:left w:val="single" w:color="auto" w:sz="4" w:space="0"/>
                    <w:bottom w:val="single" w:color="auto" w:sz="4" w:space="0"/>
                    <w:right w:val="single" w:color="auto" w:sz="4" w:space="0"/>
                  </w:tcBorders>
                  <w:vAlign w:val="center"/>
                </w:tcPr>
                <w:p w14:paraId="777D6A69">
                  <w:pPr>
                    <w:spacing w:before="62" w:after="62" w:line="240" w:lineRule="auto"/>
                    <w:ind w:firstLine="0" w:firstLineChars="0"/>
                    <w:rPr>
                      <w:rFonts w:hint="eastAsia" w:ascii="仿宋" w:hAnsi="仿宋" w:eastAsia="仿宋" w:cs="Arial"/>
                      <w:sz w:val="20"/>
                      <w:szCs w:val="20"/>
                    </w:rPr>
                  </w:pPr>
                  <w:r>
                    <w:rPr>
                      <w:rFonts w:hint="eastAsia" w:ascii="仿宋" w:hAnsi="仿宋" w:eastAsia="仿宋" w:cs="Arial"/>
                      <w:sz w:val="20"/>
                      <w:szCs w:val="20"/>
                    </w:rPr>
                    <w:t>督导、仲裁员、裁判长</w:t>
                  </w:r>
                </w:p>
              </w:tc>
              <w:tc>
                <w:tcPr>
                  <w:tcW w:w="858" w:type="dxa"/>
                  <w:tcBorders>
                    <w:top w:val="single" w:color="auto" w:sz="4" w:space="0"/>
                    <w:left w:val="single" w:color="auto" w:sz="4" w:space="0"/>
                    <w:bottom w:val="single" w:color="auto" w:sz="4" w:space="0"/>
                    <w:right w:val="single" w:color="auto" w:sz="4" w:space="0"/>
                  </w:tcBorders>
                  <w:vAlign w:val="center"/>
                </w:tcPr>
                <w:p w14:paraId="21683EF3">
                  <w:pPr>
                    <w:spacing w:before="62" w:after="62" w:line="240" w:lineRule="auto"/>
                    <w:ind w:firstLine="0" w:firstLineChars="0"/>
                    <w:rPr>
                      <w:rFonts w:hint="eastAsia" w:ascii="仿宋" w:hAnsi="仿宋" w:eastAsia="仿宋" w:cs="Arial"/>
                      <w:sz w:val="20"/>
                      <w:szCs w:val="20"/>
                    </w:rPr>
                  </w:pPr>
                </w:p>
              </w:tc>
            </w:tr>
            <w:tr w14:paraId="3209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294" w:type="dxa"/>
                  <w:gridSpan w:val="2"/>
                  <w:tcBorders>
                    <w:top w:val="single" w:color="auto" w:sz="4" w:space="0"/>
                    <w:left w:val="single" w:color="auto" w:sz="4" w:space="0"/>
                    <w:bottom w:val="single" w:color="auto" w:sz="4" w:space="0"/>
                    <w:right w:val="single" w:color="auto" w:sz="4" w:space="0"/>
                  </w:tcBorders>
                  <w:vAlign w:val="center"/>
                </w:tcPr>
                <w:p w14:paraId="6B3C6945">
                  <w:pPr>
                    <w:spacing w:before="62" w:after="62" w:line="240" w:lineRule="auto"/>
                    <w:ind w:firstLine="0" w:firstLineChars="0"/>
                    <w:jc w:val="center"/>
                    <w:rPr>
                      <w:rFonts w:hint="eastAsia" w:ascii="仿宋" w:hAnsi="仿宋" w:eastAsia="仿宋" w:cs="Arial"/>
                      <w:sz w:val="20"/>
                      <w:szCs w:val="20"/>
                    </w:rPr>
                  </w:pPr>
                  <w:r>
                    <w:rPr>
                      <w:rFonts w:hint="eastAsia" w:ascii="仿宋" w:hAnsi="仿宋" w:eastAsia="仿宋" w:cs="Arial"/>
                      <w:sz w:val="20"/>
                      <w:szCs w:val="20"/>
                    </w:rPr>
                    <w:t>赛后</w:t>
                  </w:r>
                </w:p>
              </w:tc>
              <w:tc>
                <w:tcPr>
                  <w:tcW w:w="2564" w:type="dxa"/>
                  <w:tcBorders>
                    <w:top w:val="single" w:color="auto" w:sz="4" w:space="0"/>
                    <w:left w:val="single" w:color="auto" w:sz="4" w:space="0"/>
                    <w:bottom w:val="single" w:color="auto" w:sz="4" w:space="0"/>
                    <w:right w:val="single" w:color="auto" w:sz="4" w:space="0"/>
                  </w:tcBorders>
                  <w:vAlign w:val="center"/>
                </w:tcPr>
                <w:p w14:paraId="079F680B">
                  <w:pPr>
                    <w:spacing w:before="62" w:after="62" w:line="240" w:lineRule="auto"/>
                    <w:ind w:firstLine="0" w:firstLineChars="0"/>
                    <w:jc w:val="center"/>
                    <w:rPr>
                      <w:rFonts w:hint="eastAsia" w:ascii="仿宋" w:hAnsi="仿宋" w:eastAsia="仿宋" w:cs="Arial"/>
                      <w:sz w:val="20"/>
                      <w:szCs w:val="20"/>
                    </w:rPr>
                  </w:pPr>
                  <w:r>
                    <w:rPr>
                      <w:rFonts w:hint="eastAsia" w:ascii="仿宋" w:hAnsi="仿宋" w:eastAsia="仿宋" w:cs="Arial"/>
                      <w:sz w:val="20"/>
                      <w:szCs w:val="20"/>
                    </w:rPr>
                    <w:t>成绩公布</w:t>
                  </w:r>
                </w:p>
              </w:tc>
              <w:tc>
                <w:tcPr>
                  <w:tcW w:w="2504" w:type="dxa"/>
                  <w:tcBorders>
                    <w:top w:val="single" w:color="auto" w:sz="4" w:space="0"/>
                    <w:left w:val="single" w:color="auto" w:sz="4" w:space="0"/>
                    <w:bottom w:val="single" w:color="auto" w:sz="4" w:space="0"/>
                    <w:right w:val="single" w:color="auto" w:sz="4" w:space="0"/>
                  </w:tcBorders>
                  <w:vAlign w:val="center"/>
                </w:tcPr>
                <w:p w14:paraId="096717BC">
                  <w:pPr>
                    <w:spacing w:before="62" w:after="62" w:line="240" w:lineRule="auto"/>
                    <w:ind w:firstLine="0" w:firstLineChars="0"/>
                    <w:rPr>
                      <w:rFonts w:hint="eastAsia" w:ascii="仿宋" w:hAnsi="仿宋" w:eastAsia="仿宋" w:cs="Arial"/>
                      <w:sz w:val="20"/>
                      <w:szCs w:val="20"/>
                    </w:rPr>
                  </w:pPr>
                </w:p>
              </w:tc>
              <w:tc>
                <w:tcPr>
                  <w:tcW w:w="858" w:type="dxa"/>
                  <w:tcBorders>
                    <w:top w:val="single" w:color="auto" w:sz="4" w:space="0"/>
                    <w:left w:val="single" w:color="auto" w:sz="4" w:space="0"/>
                    <w:bottom w:val="single" w:color="auto" w:sz="4" w:space="0"/>
                    <w:right w:val="single" w:color="auto" w:sz="4" w:space="0"/>
                  </w:tcBorders>
                  <w:vAlign w:val="center"/>
                </w:tcPr>
                <w:p w14:paraId="53064171">
                  <w:pPr>
                    <w:spacing w:before="62" w:after="62" w:line="240" w:lineRule="auto"/>
                    <w:ind w:firstLine="0" w:firstLineChars="0"/>
                    <w:rPr>
                      <w:rFonts w:hint="eastAsia" w:ascii="仿宋" w:hAnsi="仿宋" w:eastAsia="仿宋" w:cs="Arial"/>
                      <w:sz w:val="20"/>
                      <w:szCs w:val="20"/>
                    </w:rPr>
                  </w:pPr>
                </w:p>
              </w:tc>
            </w:tr>
          </w:tbl>
          <w:p w14:paraId="2D51B09B">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注：根据工位数和参赛选手人数增/减竞赛场次。自选项目的参赛队汇报表演</w:t>
            </w:r>
            <w:r>
              <w:rPr>
                <w:rFonts w:hint="eastAsia" w:ascii="仿宋" w:hAnsi="仿宋" w:eastAsia="仿宋" w:cs="宋体"/>
                <w:sz w:val="24"/>
                <w:szCs w:val="24"/>
                <w:lang w:val="en-US" w:eastAsia="zh-CN"/>
              </w:rPr>
              <w:t>队数</w:t>
            </w:r>
            <w:r>
              <w:rPr>
                <w:rFonts w:hint="eastAsia" w:ascii="仿宋" w:hAnsi="仿宋" w:eastAsia="仿宋" w:cs="宋体"/>
                <w:sz w:val="24"/>
                <w:szCs w:val="24"/>
              </w:rPr>
              <w:t>根据参赛队伍</w:t>
            </w:r>
            <w:r>
              <w:rPr>
                <w:rFonts w:hint="eastAsia" w:ascii="仿宋" w:hAnsi="仿宋" w:eastAsia="仿宋" w:cs="宋体"/>
                <w:sz w:val="24"/>
                <w:szCs w:val="24"/>
                <w:lang w:val="en-US" w:eastAsia="zh-CN"/>
              </w:rPr>
              <w:t>的</w:t>
            </w:r>
            <w:r>
              <w:rPr>
                <w:rFonts w:hint="eastAsia" w:ascii="仿宋" w:hAnsi="仿宋" w:eastAsia="仿宋" w:cs="宋体"/>
                <w:sz w:val="24"/>
                <w:szCs w:val="24"/>
              </w:rPr>
              <w:t>数量</w:t>
            </w:r>
            <w:r>
              <w:rPr>
                <w:rFonts w:hint="eastAsia" w:ascii="仿宋" w:hAnsi="仿宋" w:eastAsia="仿宋" w:cs="宋体"/>
                <w:sz w:val="24"/>
                <w:szCs w:val="24"/>
                <w:lang w:val="en-US" w:eastAsia="zh-CN"/>
              </w:rPr>
              <w:t>及场地容纳情况</w:t>
            </w:r>
            <w:r>
              <w:rPr>
                <w:rFonts w:hint="eastAsia" w:ascii="仿宋" w:hAnsi="仿宋" w:eastAsia="仿宋" w:cs="宋体"/>
                <w:sz w:val="24"/>
                <w:szCs w:val="24"/>
              </w:rPr>
              <w:t>，</w:t>
            </w:r>
            <w:r>
              <w:rPr>
                <w:rFonts w:hint="eastAsia" w:ascii="仿宋" w:hAnsi="仿宋" w:eastAsia="仿宋" w:cs="宋体"/>
                <w:sz w:val="24"/>
                <w:szCs w:val="24"/>
                <w:lang w:val="en-US" w:eastAsia="zh-CN"/>
              </w:rPr>
              <w:t>具体赛程时间以</w:t>
            </w:r>
            <w:r>
              <w:rPr>
                <w:rFonts w:hint="eastAsia" w:ascii="仿宋" w:hAnsi="仿宋" w:eastAsia="仿宋" w:cs="宋体"/>
                <w:sz w:val="24"/>
                <w:szCs w:val="24"/>
              </w:rPr>
              <w:t>后续通知</w:t>
            </w:r>
            <w:r>
              <w:rPr>
                <w:rFonts w:hint="eastAsia" w:ascii="仿宋" w:hAnsi="仿宋" w:eastAsia="仿宋" w:cs="宋体"/>
                <w:sz w:val="24"/>
                <w:szCs w:val="24"/>
                <w:lang w:val="en-US" w:eastAsia="zh-CN"/>
              </w:rPr>
              <w:t>为准</w:t>
            </w:r>
            <w:r>
              <w:rPr>
                <w:rFonts w:hint="eastAsia" w:ascii="仿宋" w:hAnsi="仿宋" w:eastAsia="仿宋" w:cs="宋体"/>
                <w:sz w:val="24"/>
                <w:szCs w:val="24"/>
              </w:rPr>
              <w:t>。</w:t>
            </w:r>
          </w:p>
          <w:p w14:paraId="31F0F384">
            <w:pPr>
              <w:snapToGrid w:val="0"/>
              <w:spacing w:before="62" w:after="62" w:line="560" w:lineRule="exact"/>
              <w:ind w:firstLine="480"/>
              <w:outlineLvl w:val="0"/>
              <w:rPr>
                <w:rFonts w:hint="eastAsia" w:ascii="仿宋" w:hAnsi="仿宋" w:eastAsia="仿宋" w:cs="宋体"/>
                <w:sz w:val="24"/>
                <w:szCs w:val="24"/>
              </w:rPr>
            </w:pPr>
            <w:r>
              <w:rPr>
                <w:rFonts w:hint="eastAsia" w:ascii="仿宋" w:hAnsi="仿宋" w:eastAsia="仿宋" w:cs="宋体"/>
                <w:sz w:val="24"/>
                <w:szCs w:val="24"/>
              </w:rPr>
              <w:t>（三）竞赛过程</w:t>
            </w:r>
          </w:p>
          <w:p w14:paraId="03BAD431">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1.参赛选手入场和就位</w:t>
            </w:r>
          </w:p>
          <w:p w14:paraId="316B08FC">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参赛选手使用报到时领取的抽签号，进行一级加密顺序号及二级加密赛位号的抽取，入场时赛位号进行检录查询赛场的位置，并按照工位位置就位等候比赛开始。</w:t>
            </w:r>
          </w:p>
          <w:p w14:paraId="72447353">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2.竞赛过程</w:t>
            </w:r>
          </w:p>
          <w:p w14:paraId="470937CE">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在裁判长宣布比赛开始后，各参赛选手通过赛位号找到比赛工位，正式进行竞赛，按照每个工位提供的任务书上的项目要求，完成每个项目任务要求，并按照任务要求提交和保存竞赛结果。</w:t>
            </w:r>
          </w:p>
          <w:p w14:paraId="47AEAF07">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3.竞赛结束</w:t>
            </w:r>
          </w:p>
          <w:p w14:paraId="137D8D8A">
            <w:pPr>
              <w:spacing w:before="62" w:after="62"/>
              <w:ind w:firstLine="480"/>
              <w:rPr>
                <w:rFonts w:hint="eastAsia" w:ascii="仿宋" w:hAnsi="仿宋" w:eastAsia="仿宋" w:cs="宋体"/>
                <w:sz w:val="24"/>
                <w:szCs w:val="24"/>
              </w:rPr>
            </w:pPr>
            <w:r>
              <w:rPr>
                <w:rFonts w:hint="eastAsia" w:ascii="仿宋" w:hAnsi="仿宋" w:eastAsia="仿宋" w:cs="宋体"/>
                <w:sz w:val="24"/>
                <w:szCs w:val="24"/>
              </w:rPr>
              <w:t>在竞赛规定时间到达后，裁判长会宣布竞赛结束，每个竞赛工位设备锁定，参赛选手停止所有操作，并按照裁判组要求有次序的离开竞赛场地。</w:t>
            </w:r>
          </w:p>
        </w:tc>
      </w:tr>
    </w:tbl>
    <w:p w14:paraId="20117969">
      <w:pPr>
        <w:pageBreakBefore/>
        <w:snapToGrid w:val="0"/>
        <w:spacing w:before="62" w:after="62" w:line="560" w:lineRule="exact"/>
        <w:ind w:firstLine="0" w:firstLineChars="0"/>
        <w:rPr>
          <w:sz w:val="30"/>
          <w:szCs w:val="30"/>
        </w:rPr>
      </w:pPr>
      <w:r>
        <w:rPr>
          <w:rFonts w:hint="eastAsia"/>
          <w:sz w:val="30"/>
          <w:szCs w:val="30"/>
        </w:rPr>
        <w:t>六、竞赛规则</w:t>
      </w:r>
    </w:p>
    <w:tbl>
      <w:tblPr>
        <w:tblStyle w:val="5"/>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14:paraId="077E7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0" w:hRule="atLeast"/>
        </w:trPr>
        <w:tc>
          <w:tcPr>
            <w:tcW w:w="8319" w:type="dxa"/>
          </w:tcPr>
          <w:p w14:paraId="596B710F">
            <w:pPr>
              <w:widowControl/>
              <w:spacing w:before="62" w:after="62" w:line="560" w:lineRule="exact"/>
              <w:ind w:firstLine="480"/>
              <w:outlineLvl w:val="1"/>
              <w:rPr>
                <w:rFonts w:hint="eastAsia" w:ascii="黑体" w:hAnsi="黑体" w:eastAsia="黑体" w:cs="黑体"/>
                <w:sz w:val="24"/>
                <w:szCs w:val="24"/>
              </w:rPr>
            </w:pPr>
            <w:r>
              <w:rPr>
                <w:rFonts w:hint="eastAsia" w:ascii="黑体" w:hAnsi="黑体" w:eastAsia="黑体" w:cs="黑体"/>
                <w:sz w:val="24"/>
                <w:szCs w:val="24"/>
              </w:rPr>
              <w:t>（一）赛制安排</w:t>
            </w:r>
          </w:p>
          <w:p w14:paraId="09DD23F8">
            <w:pPr>
              <w:widowControl/>
              <w:spacing w:before="62" w:after="62" w:line="560" w:lineRule="exact"/>
              <w:ind w:firstLine="480"/>
              <w:outlineLvl w:val="1"/>
              <w:rPr>
                <w:rFonts w:hint="eastAsia" w:ascii="仿宋" w:hAnsi="仿宋" w:eastAsia="仿宋" w:cs="宋体"/>
                <w:sz w:val="24"/>
                <w:szCs w:val="24"/>
              </w:rPr>
            </w:pPr>
            <w:r>
              <w:rPr>
                <w:rFonts w:hint="eastAsia" w:ascii="仿宋" w:hAnsi="仿宋" w:eastAsia="仿宋" w:cs="宋体"/>
                <w:sz w:val="24"/>
                <w:szCs w:val="24"/>
              </w:rPr>
              <w:t>大赛实行基础项目与自选项目混合赛制。</w:t>
            </w:r>
          </w:p>
          <w:p w14:paraId="03B99A91">
            <w:pPr>
              <w:pStyle w:val="11"/>
              <w:widowControl/>
              <w:numPr>
                <w:ilvl w:val="0"/>
                <w:numId w:val="2"/>
              </w:numPr>
              <w:spacing w:before="62" w:after="62" w:line="560" w:lineRule="exact"/>
              <w:ind w:firstLineChars="0"/>
              <w:outlineLvl w:val="1"/>
              <w:rPr>
                <w:rFonts w:hint="eastAsia" w:ascii="仿宋" w:hAnsi="仿宋" w:eastAsia="仿宋" w:cs="宋体"/>
                <w:sz w:val="24"/>
                <w:szCs w:val="24"/>
              </w:rPr>
            </w:pPr>
            <w:r>
              <w:rPr>
                <w:rFonts w:hint="eastAsia" w:ascii="仿宋" w:hAnsi="仿宋" w:eastAsia="仿宋" w:cs="宋体"/>
                <w:sz w:val="24"/>
                <w:szCs w:val="24"/>
                <w:lang w:val="en-US" w:eastAsia="zh-CN"/>
              </w:rPr>
              <w:t>指定</w:t>
            </w:r>
            <w:r>
              <w:rPr>
                <w:rFonts w:hint="eastAsia" w:ascii="仿宋" w:hAnsi="仿宋" w:eastAsia="仿宋" w:cs="宋体"/>
                <w:sz w:val="24"/>
                <w:szCs w:val="24"/>
              </w:rPr>
              <w:t>项目</w:t>
            </w:r>
          </w:p>
          <w:p w14:paraId="026B6C5E">
            <w:pPr>
              <w:pStyle w:val="11"/>
              <w:widowControl/>
              <w:spacing w:before="62" w:after="62" w:line="560" w:lineRule="exact"/>
              <w:ind w:left="840" w:firstLine="0" w:firstLineChars="0"/>
              <w:outlineLvl w:val="1"/>
              <w:rPr>
                <w:rFonts w:hint="eastAsia" w:ascii="仿宋" w:hAnsi="仿宋" w:eastAsia="仿宋" w:cs="宋体"/>
                <w:sz w:val="24"/>
                <w:szCs w:val="24"/>
              </w:rPr>
            </w:pPr>
            <w:r>
              <w:rPr>
                <w:rFonts w:hint="eastAsia" w:ascii="仿宋" w:hAnsi="仿宋" w:eastAsia="仿宋" w:cs="宋体"/>
                <w:sz w:val="24"/>
                <w:szCs w:val="24"/>
                <w:lang w:val="en-US" w:eastAsia="zh-CN"/>
              </w:rPr>
              <w:t>指定</w:t>
            </w:r>
            <w:r>
              <w:rPr>
                <w:rFonts w:hint="eastAsia" w:ascii="仿宋" w:hAnsi="仿宋" w:eastAsia="仿宋" w:cs="宋体"/>
                <w:sz w:val="24"/>
                <w:szCs w:val="24"/>
              </w:rPr>
              <w:t>项目分为“技能操作”和“展示讲解”两部分。各参赛队伍均集中在承办校进行比赛，参赛选手、裁判员、工作人员、赛项组织者均按照赛项组委会要求及时办理相关手续，熟悉场地，承办校做好赛前相关线下设备准备调试工作，确保比赛正常进行。</w:t>
            </w:r>
          </w:p>
          <w:p w14:paraId="6E2914C2">
            <w:pPr>
              <w:pStyle w:val="11"/>
              <w:widowControl/>
              <w:numPr>
                <w:ilvl w:val="0"/>
                <w:numId w:val="2"/>
              </w:numPr>
              <w:spacing w:before="62" w:after="62" w:line="560" w:lineRule="exact"/>
              <w:ind w:firstLineChars="0"/>
              <w:outlineLvl w:val="1"/>
              <w:rPr>
                <w:rFonts w:hint="eastAsia" w:ascii="仿宋" w:hAnsi="仿宋" w:eastAsia="仿宋" w:cs="宋体"/>
                <w:sz w:val="24"/>
                <w:szCs w:val="24"/>
              </w:rPr>
            </w:pPr>
            <w:r>
              <w:rPr>
                <w:rFonts w:hint="eastAsia" w:ascii="仿宋" w:hAnsi="仿宋" w:eastAsia="仿宋" w:cs="宋体"/>
                <w:sz w:val="24"/>
                <w:szCs w:val="24"/>
              </w:rPr>
              <w:t>自选项目</w:t>
            </w:r>
          </w:p>
          <w:p w14:paraId="390E42AD">
            <w:pPr>
              <w:pStyle w:val="11"/>
              <w:widowControl/>
              <w:spacing w:before="62" w:after="62" w:line="560" w:lineRule="exact"/>
              <w:ind w:left="840" w:firstLine="0" w:firstLineChars="0"/>
              <w:outlineLvl w:val="1"/>
              <w:rPr>
                <w:rFonts w:hint="eastAsia" w:ascii="仿宋" w:hAnsi="仿宋" w:eastAsia="仿宋" w:cs="宋体"/>
                <w:sz w:val="24"/>
                <w:szCs w:val="24"/>
              </w:rPr>
            </w:pPr>
            <w:r>
              <w:rPr>
                <w:rFonts w:hint="eastAsia" w:ascii="仿宋" w:hAnsi="仿宋" w:eastAsia="仿宋" w:cs="宋体"/>
                <w:sz w:val="24"/>
                <w:szCs w:val="24"/>
              </w:rPr>
              <w:t>a.自选项目应具备体现选手技能水平、应用价值、创新创意、团队合作与职业素养。</w:t>
            </w:r>
          </w:p>
          <w:p w14:paraId="7320BC7D">
            <w:pPr>
              <w:pStyle w:val="11"/>
              <w:widowControl/>
              <w:spacing w:before="62" w:after="62" w:line="560" w:lineRule="exact"/>
              <w:ind w:left="840" w:firstLine="0" w:firstLineChars="0"/>
              <w:outlineLvl w:val="1"/>
              <w:rPr>
                <w:rFonts w:hint="eastAsia" w:ascii="仿宋" w:hAnsi="仿宋" w:eastAsia="仿宋" w:cs="宋体"/>
                <w:sz w:val="24"/>
                <w:szCs w:val="24"/>
              </w:rPr>
            </w:pPr>
            <w:r>
              <w:rPr>
                <w:rFonts w:hint="eastAsia" w:ascii="仿宋" w:hAnsi="仿宋" w:eastAsia="仿宋" w:cs="宋体"/>
                <w:sz w:val="24"/>
                <w:szCs w:val="24"/>
              </w:rPr>
              <w:t>b.自选项目的展示汇报拟定在基础部分结束后根据参赛队数，后续具体通知。</w:t>
            </w:r>
          </w:p>
          <w:p w14:paraId="49EBF8DA">
            <w:pPr>
              <w:pStyle w:val="11"/>
              <w:widowControl/>
              <w:spacing w:before="62" w:after="62" w:line="560" w:lineRule="exact"/>
              <w:ind w:left="840" w:firstLine="0" w:firstLineChars="0"/>
              <w:outlineLvl w:val="1"/>
              <w:rPr>
                <w:rFonts w:hint="eastAsia" w:ascii="仿宋" w:hAnsi="仿宋" w:eastAsia="仿宋" w:cs="宋体"/>
                <w:sz w:val="24"/>
                <w:szCs w:val="24"/>
              </w:rPr>
            </w:pPr>
            <w:r>
              <w:rPr>
                <w:rFonts w:hint="eastAsia" w:ascii="仿宋" w:hAnsi="仿宋" w:eastAsia="仿宋" w:cs="宋体"/>
                <w:sz w:val="24"/>
                <w:szCs w:val="24"/>
              </w:rPr>
              <w:t>c.基础项目占总成绩的50%，自选项目的展示汇报占总成绩的50%。</w:t>
            </w:r>
          </w:p>
          <w:p w14:paraId="7CB69D55">
            <w:pPr>
              <w:pStyle w:val="11"/>
              <w:widowControl/>
              <w:spacing w:before="62" w:after="62" w:line="560" w:lineRule="exact"/>
              <w:ind w:left="840" w:firstLine="0" w:firstLineChars="0"/>
              <w:outlineLvl w:val="1"/>
              <w:rPr>
                <w:rFonts w:hint="eastAsia" w:ascii="仿宋" w:hAnsi="仿宋" w:eastAsia="仿宋" w:cs="宋体"/>
                <w:sz w:val="24"/>
                <w:szCs w:val="24"/>
              </w:rPr>
            </w:pPr>
            <w:r>
              <w:rPr>
                <w:rFonts w:hint="eastAsia" w:ascii="仿宋" w:hAnsi="仿宋" w:eastAsia="仿宋" w:cs="宋体"/>
                <w:sz w:val="24"/>
                <w:szCs w:val="24"/>
              </w:rPr>
              <w:t>d.涉及自带设备的参赛队需要提前与承办校预约申请</w:t>
            </w:r>
          </w:p>
          <w:p w14:paraId="04BEB36E">
            <w:pPr>
              <w:pStyle w:val="11"/>
              <w:widowControl/>
              <w:numPr>
                <w:ilvl w:val="0"/>
                <w:numId w:val="2"/>
              </w:numPr>
              <w:spacing w:before="62" w:after="62" w:line="560" w:lineRule="exact"/>
              <w:ind w:firstLineChars="0"/>
              <w:outlineLvl w:val="1"/>
              <w:rPr>
                <w:rFonts w:hint="eastAsia" w:ascii="仿宋" w:hAnsi="仿宋" w:eastAsia="仿宋" w:cs="宋体"/>
                <w:sz w:val="24"/>
                <w:szCs w:val="24"/>
              </w:rPr>
            </w:pPr>
            <w:r>
              <w:rPr>
                <w:rFonts w:hint="eastAsia" w:ascii="仿宋" w:hAnsi="仿宋" w:eastAsia="仿宋" w:cs="宋体"/>
                <w:sz w:val="24"/>
                <w:szCs w:val="24"/>
              </w:rPr>
              <w:t>参赛规则</w:t>
            </w:r>
          </w:p>
          <w:p w14:paraId="22F625A8">
            <w:pPr>
              <w:pStyle w:val="11"/>
              <w:widowControl/>
              <w:spacing w:before="62" w:after="62" w:line="560" w:lineRule="exact"/>
              <w:ind w:left="840" w:firstLine="0" w:firstLineChars="0"/>
              <w:outlineLvl w:val="1"/>
              <w:rPr>
                <w:rFonts w:hint="eastAsia" w:ascii="仿宋" w:hAnsi="仿宋" w:eastAsia="仿宋" w:cs="宋体"/>
                <w:sz w:val="24"/>
                <w:szCs w:val="24"/>
              </w:rPr>
            </w:pPr>
            <w:r>
              <w:rPr>
                <w:rFonts w:hint="eastAsia" w:ascii="仿宋" w:hAnsi="仿宋" w:eastAsia="仿宋" w:cs="宋体"/>
                <w:sz w:val="24"/>
                <w:szCs w:val="24"/>
              </w:rPr>
              <w:t>报名成功的参赛队伍，不得更换参赛选手，若遇报名队伍未能出席参赛的情况，将不进行参赛队伍的递补。</w:t>
            </w:r>
          </w:p>
          <w:p w14:paraId="580F5554">
            <w:pPr>
              <w:widowControl/>
              <w:spacing w:before="62" w:after="62" w:line="560" w:lineRule="exact"/>
              <w:ind w:firstLine="480"/>
              <w:outlineLvl w:val="1"/>
              <w:rPr>
                <w:rFonts w:ascii="仿宋_GB2312" w:hAnsi="Arial Narrow" w:cs="Arial"/>
                <w:sz w:val="24"/>
                <w:szCs w:val="24"/>
              </w:rPr>
            </w:pPr>
            <w:r>
              <w:rPr>
                <w:rFonts w:hint="eastAsia" w:ascii="黑体" w:hAnsi="黑体" w:eastAsia="黑体" w:cs="黑体"/>
                <w:sz w:val="24"/>
                <w:szCs w:val="24"/>
              </w:rPr>
              <w:t>（二）参赛资格</w:t>
            </w:r>
          </w:p>
          <w:p w14:paraId="5F49534D">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参赛选手须为高等职业学校全日制在籍学生。原则上参赛选手经过各级选拔产生；凡在往届世界职业院校技能大赛中获金牌的选手，不能再参加同一项目同一组别的比赛。参赛选手的资格审查工作按照世界职业院校技能大赛制度要求执行。</w:t>
            </w:r>
          </w:p>
          <w:p w14:paraId="1B0D9E5F">
            <w:pPr>
              <w:widowControl/>
              <w:spacing w:before="62" w:after="62" w:line="560" w:lineRule="exact"/>
              <w:ind w:firstLine="480"/>
              <w:outlineLvl w:val="1"/>
              <w:rPr>
                <w:rFonts w:hint="eastAsia" w:ascii="黑体" w:hAnsi="黑体" w:eastAsia="黑体" w:cs="黑体"/>
                <w:sz w:val="24"/>
                <w:szCs w:val="24"/>
              </w:rPr>
            </w:pPr>
            <w:r>
              <w:rPr>
                <w:rFonts w:hint="eastAsia" w:ascii="黑体" w:hAnsi="黑体" w:eastAsia="黑体" w:cs="黑体"/>
                <w:sz w:val="24"/>
                <w:szCs w:val="24"/>
              </w:rPr>
              <w:t>（三）报名要求</w:t>
            </w:r>
          </w:p>
          <w:p w14:paraId="74815D7A">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本赛项为团体赛，以院校为单位组织参赛。参赛选手在报名获得确认后，原则上不再更换。如在筹备过程中，选手因故不能参赛，参赛学校主管部门需出具书面说明并按相关参赛选手资格补充人员并接受审核；竞赛开始后，参赛队不得更换参赛选手，允许队员缺席比赛。</w:t>
            </w:r>
          </w:p>
          <w:p w14:paraId="21EC0FA7">
            <w:pPr>
              <w:widowControl/>
              <w:spacing w:before="62" w:after="62" w:line="560" w:lineRule="exact"/>
              <w:ind w:firstLine="480"/>
              <w:outlineLvl w:val="1"/>
              <w:rPr>
                <w:rFonts w:ascii="仿宋_GB2312" w:hAnsi="Arial Narrow" w:cs="Arial"/>
                <w:sz w:val="24"/>
                <w:szCs w:val="24"/>
              </w:rPr>
            </w:pPr>
            <w:r>
              <w:rPr>
                <w:rFonts w:hint="eastAsia" w:ascii="黑体" w:hAnsi="黑体" w:eastAsia="黑体" w:cs="黑体"/>
                <w:sz w:val="24"/>
                <w:szCs w:val="24"/>
              </w:rPr>
              <w:t>（四）赛前准备</w:t>
            </w:r>
          </w:p>
          <w:p w14:paraId="782136BB">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1.参赛选手应在竞赛日程规定的时间熟悉竞赛场地，选手可进入竞赛场地及工位熟悉。</w:t>
            </w:r>
          </w:p>
          <w:p w14:paraId="2D3DA590">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2.参赛队熟悉竞赛场地后，认为所提供的设备、工具等不符合竞赛规定或有异议时，参赛队领队必须在1小时内提出书面报告，送交赛项执委会进行处理，超过时效将不予受理。</w:t>
            </w:r>
          </w:p>
          <w:p w14:paraId="31054215">
            <w:pPr>
              <w:widowControl/>
              <w:spacing w:before="62" w:after="62" w:line="560" w:lineRule="exact"/>
              <w:ind w:firstLine="480"/>
              <w:outlineLvl w:val="1"/>
              <w:rPr>
                <w:rFonts w:hint="eastAsia" w:ascii="黑体" w:hAnsi="黑体" w:eastAsia="黑体" w:cs="黑体"/>
                <w:sz w:val="24"/>
                <w:szCs w:val="24"/>
              </w:rPr>
            </w:pPr>
            <w:r>
              <w:rPr>
                <w:rFonts w:hint="eastAsia" w:ascii="黑体" w:hAnsi="黑体" w:eastAsia="黑体" w:cs="黑体"/>
                <w:sz w:val="24"/>
                <w:szCs w:val="24"/>
              </w:rPr>
              <w:t>（五）正式比赛</w:t>
            </w:r>
          </w:p>
          <w:p w14:paraId="31C4DF05">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1.参赛选手须提前20分钟入场，入场必须佩戴参赛证并出示身份证和学生证。不得私自携带任何软硬件工具（各种便携式电脑、各种移动存储设备等）、技术资源和通信工具。按工位号入座，检查比赛所需竞赛设备齐全后，由参赛选手签字确认方可开始比赛。选手在比赛中应注意随时存盘。迟到超过10分钟不得入场。竞赛期间不准出场，竞赛结束后方可离场。</w:t>
            </w:r>
          </w:p>
          <w:p w14:paraId="68AC8FEA">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2.竞赛过程中，每个参赛队成员不得与任何其它人员讨论问题，也不得向裁判、巡视和其他必须进入考场的工作人员询问与竞赛项目的操作流程和操作方法有关的问题，如有竞赛题目文字不清、软硬件环境故障的问题时，可向裁判员询问，沟通谈话不得影响到其他竞赛队伍。</w:t>
            </w:r>
          </w:p>
          <w:p w14:paraId="3F1A00B0">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3.竞赛过程中除裁判和其他必须进入考场的工作人员外，任何其它非竞赛选手不得进入竞赛场地。</w:t>
            </w:r>
          </w:p>
          <w:p w14:paraId="6399435E">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4.竞赛赛程结束（或提前完成）后，参赛队要确认成功提交竞赛要求的文件，裁判员与参赛队员一起签字确认，参赛队在确认后不得再进行任何操作。</w:t>
            </w:r>
          </w:p>
          <w:p w14:paraId="09BA486A">
            <w:pPr>
              <w:widowControl/>
              <w:spacing w:before="62" w:after="62" w:line="560" w:lineRule="exact"/>
              <w:ind w:firstLine="480"/>
              <w:outlineLvl w:val="1"/>
              <w:rPr>
                <w:rFonts w:hint="eastAsia" w:ascii="黑体" w:hAnsi="黑体" w:eastAsia="黑体" w:cs="黑体"/>
                <w:sz w:val="24"/>
                <w:szCs w:val="24"/>
              </w:rPr>
            </w:pPr>
            <w:r>
              <w:rPr>
                <w:rFonts w:hint="eastAsia" w:ascii="黑体" w:hAnsi="黑体" w:eastAsia="黑体" w:cs="黑体"/>
                <w:sz w:val="24"/>
                <w:szCs w:val="24"/>
              </w:rPr>
              <w:t>（六）成绩公示与公布</w:t>
            </w:r>
          </w:p>
          <w:p w14:paraId="4A78C720">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赛项成绩解密后汇总后，经裁判长签字，在赛项执委会指定的地点，以纸质形式向全体参赛队进行公布。</w:t>
            </w:r>
          </w:p>
          <w:p w14:paraId="167BEE72">
            <w:pPr>
              <w:widowControl/>
              <w:spacing w:before="62" w:after="62" w:line="560" w:lineRule="exact"/>
              <w:ind w:firstLine="480"/>
              <w:outlineLvl w:val="1"/>
              <w:rPr>
                <w:rFonts w:hint="eastAsia" w:ascii="黑体" w:hAnsi="黑体" w:eastAsia="黑体" w:cs="黑体"/>
                <w:sz w:val="24"/>
                <w:szCs w:val="24"/>
              </w:rPr>
            </w:pPr>
            <w:r>
              <w:rPr>
                <w:rFonts w:hint="eastAsia" w:ascii="黑体" w:hAnsi="黑体" w:eastAsia="黑体" w:cs="黑体"/>
                <w:sz w:val="24"/>
                <w:szCs w:val="24"/>
              </w:rPr>
              <w:t>（七）其他</w:t>
            </w:r>
          </w:p>
          <w:p w14:paraId="2B773A65">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1.参赛选手应严格遵守赛场纪律，服从指挥，着装整洁，仪表端庄，讲文明礼貌。各地代表队之间应团结、友好、协作，避免各种矛盾发生。</w:t>
            </w:r>
          </w:p>
          <w:p w14:paraId="18080A43">
            <w:pPr>
              <w:widowControl/>
              <w:snapToGrid w:val="0"/>
              <w:spacing w:before="62" w:after="62" w:line="560" w:lineRule="exact"/>
              <w:ind w:firstLine="480"/>
              <w:rPr>
                <w:rFonts w:ascii="仿宋_GB2312" w:hAnsi="Arial Narrow" w:cs="Arial"/>
                <w:sz w:val="24"/>
                <w:szCs w:val="24"/>
              </w:rPr>
            </w:pPr>
            <w:r>
              <w:rPr>
                <w:rFonts w:hint="eastAsia" w:ascii="仿宋" w:hAnsi="仿宋" w:eastAsia="仿宋" w:cs="宋体"/>
                <w:sz w:val="24"/>
                <w:szCs w:val="24"/>
              </w:rPr>
              <w:t>2.其它未尽事宜，将在竞赛指南或赛前说明会向各领队做详细说明。</w:t>
            </w:r>
          </w:p>
        </w:tc>
      </w:tr>
    </w:tbl>
    <w:p w14:paraId="18ACC9E4">
      <w:pPr>
        <w:pageBreakBefore/>
        <w:snapToGrid w:val="0"/>
        <w:spacing w:before="62" w:after="62" w:line="560" w:lineRule="exact"/>
        <w:ind w:firstLine="0" w:firstLineChars="0"/>
        <w:rPr>
          <w:sz w:val="30"/>
          <w:szCs w:val="30"/>
        </w:rPr>
      </w:pPr>
      <w:r>
        <w:rPr>
          <w:rFonts w:hint="eastAsia"/>
          <w:sz w:val="30"/>
          <w:szCs w:val="30"/>
        </w:rPr>
        <w:t>七、技术规范</w:t>
      </w:r>
    </w:p>
    <w:tbl>
      <w:tblPr>
        <w:tblStyle w:val="5"/>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3"/>
      </w:tblGrid>
      <w:tr w14:paraId="15E6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2" w:hRule="atLeast"/>
        </w:trPr>
        <w:tc>
          <w:tcPr>
            <w:tcW w:w="8343" w:type="dxa"/>
          </w:tcPr>
          <w:p w14:paraId="37C9E8B3">
            <w:pPr>
              <w:widowControl/>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赛项的技术规范将包括：相关专业的教育教学要求、行业、职业技术标准，以及根据高职目录修订后的人工智能技术与应用相关专业人才培养标准和规范，适时地修订本赛项遵循的技术规范。</w:t>
            </w:r>
          </w:p>
          <w:p w14:paraId="57F0EFB2">
            <w:pPr>
              <w:widowControl/>
              <w:spacing w:before="62" w:after="62" w:line="560" w:lineRule="exact"/>
              <w:ind w:firstLine="480"/>
              <w:outlineLvl w:val="1"/>
              <w:rPr>
                <w:rFonts w:hint="eastAsia" w:ascii="黑体" w:hAnsi="黑体" w:eastAsia="黑体" w:cs="黑体"/>
                <w:sz w:val="24"/>
                <w:szCs w:val="24"/>
              </w:rPr>
            </w:pPr>
            <w:r>
              <w:rPr>
                <w:rFonts w:hint="eastAsia" w:ascii="黑体" w:hAnsi="黑体" w:eastAsia="黑体" w:cs="黑体"/>
                <w:sz w:val="24"/>
                <w:szCs w:val="24"/>
              </w:rPr>
              <w:t>（一）基础标准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8" w:type="dxa"/>
                <w:left w:w="108" w:type="dxa"/>
                <w:bottom w:w="68" w:type="dxa"/>
                <w:right w:w="108" w:type="dxa"/>
              </w:tblCellMar>
            </w:tblPr>
            <w:tblGrid>
              <w:gridCol w:w="839"/>
              <w:gridCol w:w="2909"/>
              <w:gridCol w:w="4459"/>
            </w:tblGrid>
            <w:tr w14:paraId="6FF7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8" w:type="dxa"/>
                  <w:left w:w="108" w:type="dxa"/>
                  <w:bottom w:w="68" w:type="dxa"/>
                  <w:right w:w="108" w:type="dxa"/>
                </w:tblCellMar>
              </w:tblPrEx>
              <w:trPr>
                <w:trHeight w:val="397" w:hRule="atLeast"/>
                <w:jc w:val="center"/>
              </w:trPr>
              <w:tc>
                <w:tcPr>
                  <w:tcW w:w="839" w:type="dxa"/>
                  <w:tcBorders>
                    <w:top w:val="single" w:color="auto" w:sz="4" w:space="0"/>
                    <w:left w:val="single" w:color="auto" w:sz="4" w:space="0"/>
                    <w:bottom w:val="single" w:color="auto" w:sz="4" w:space="0"/>
                    <w:right w:val="single" w:color="auto" w:sz="4" w:space="0"/>
                  </w:tcBorders>
                  <w:shd w:val="clear" w:color="auto" w:fill="E7E6E6"/>
                  <w:vAlign w:val="center"/>
                </w:tcPr>
                <w:p w14:paraId="5128633E">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序号</w:t>
                  </w:r>
                </w:p>
              </w:tc>
              <w:tc>
                <w:tcPr>
                  <w:tcW w:w="2909" w:type="dxa"/>
                  <w:tcBorders>
                    <w:top w:val="single" w:color="auto" w:sz="4" w:space="0"/>
                    <w:left w:val="single" w:color="auto" w:sz="4" w:space="0"/>
                    <w:bottom w:val="single" w:color="auto" w:sz="4" w:space="0"/>
                    <w:right w:val="single" w:color="auto" w:sz="4" w:space="0"/>
                  </w:tcBorders>
                  <w:shd w:val="clear" w:color="auto" w:fill="E7E6E6"/>
                  <w:vAlign w:val="center"/>
                </w:tcPr>
                <w:p w14:paraId="15742ABA">
                  <w:pPr>
                    <w:spacing w:before="62" w:after="62" w:line="240" w:lineRule="auto"/>
                    <w:ind w:firstLine="400"/>
                    <w:rPr>
                      <w:rFonts w:hint="eastAsia" w:ascii="仿宋" w:hAnsi="仿宋" w:eastAsia="仿宋" w:cs="仿宋"/>
                      <w:sz w:val="20"/>
                      <w:szCs w:val="20"/>
                    </w:rPr>
                  </w:pPr>
                  <w:r>
                    <w:rPr>
                      <w:rFonts w:hint="eastAsia" w:ascii="仿宋" w:hAnsi="仿宋" w:eastAsia="仿宋" w:cs="仿宋"/>
                      <w:sz w:val="20"/>
                      <w:szCs w:val="20"/>
                    </w:rPr>
                    <w:t>标准号</w:t>
                  </w:r>
                </w:p>
              </w:tc>
              <w:tc>
                <w:tcPr>
                  <w:tcW w:w="4459" w:type="dxa"/>
                  <w:tcBorders>
                    <w:top w:val="single" w:color="auto" w:sz="4" w:space="0"/>
                    <w:left w:val="single" w:color="auto" w:sz="4" w:space="0"/>
                    <w:bottom w:val="single" w:color="auto" w:sz="4" w:space="0"/>
                    <w:right w:val="single" w:color="auto" w:sz="4" w:space="0"/>
                  </w:tcBorders>
                  <w:shd w:val="clear" w:color="auto" w:fill="E7E6E6"/>
                  <w:vAlign w:val="center"/>
                </w:tcPr>
                <w:p w14:paraId="2497D5F2">
                  <w:pPr>
                    <w:spacing w:before="62" w:after="62" w:line="240" w:lineRule="auto"/>
                    <w:ind w:firstLine="400"/>
                    <w:rPr>
                      <w:rFonts w:hint="eastAsia" w:ascii="仿宋" w:hAnsi="仿宋" w:eastAsia="仿宋" w:cs="仿宋"/>
                      <w:sz w:val="20"/>
                      <w:szCs w:val="20"/>
                    </w:rPr>
                  </w:pPr>
                  <w:r>
                    <w:rPr>
                      <w:rFonts w:hint="eastAsia" w:ascii="仿宋" w:hAnsi="仿宋" w:eastAsia="仿宋" w:cs="仿宋"/>
                      <w:sz w:val="20"/>
                      <w:szCs w:val="20"/>
                    </w:rPr>
                    <w:t>中文标准名称</w:t>
                  </w:r>
                </w:p>
              </w:tc>
            </w:tr>
            <w:tr w14:paraId="6B9A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8" w:type="dxa"/>
                  <w:left w:w="108" w:type="dxa"/>
                  <w:bottom w:w="68" w:type="dxa"/>
                  <w:right w:w="108" w:type="dxa"/>
                </w:tblCellMar>
              </w:tblPrEx>
              <w:trPr>
                <w:trHeight w:val="397" w:hRule="atLeast"/>
                <w:jc w:val="center"/>
              </w:trPr>
              <w:tc>
                <w:tcPr>
                  <w:tcW w:w="839" w:type="dxa"/>
                  <w:tcBorders>
                    <w:top w:val="single" w:color="auto" w:sz="4" w:space="0"/>
                    <w:left w:val="single" w:color="auto" w:sz="4" w:space="0"/>
                    <w:bottom w:val="single" w:color="auto" w:sz="4" w:space="0"/>
                    <w:right w:val="single" w:color="auto" w:sz="4" w:space="0"/>
                  </w:tcBorders>
                  <w:vAlign w:val="center"/>
                </w:tcPr>
                <w:p w14:paraId="0495A5FD">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1</w:t>
                  </w:r>
                </w:p>
              </w:tc>
              <w:tc>
                <w:tcPr>
                  <w:tcW w:w="2909" w:type="dxa"/>
                  <w:tcBorders>
                    <w:top w:val="single" w:color="auto" w:sz="4" w:space="0"/>
                    <w:left w:val="single" w:color="auto" w:sz="4" w:space="0"/>
                    <w:bottom w:val="single" w:color="auto" w:sz="4" w:space="0"/>
                    <w:right w:val="single" w:color="auto" w:sz="4" w:space="0"/>
                  </w:tcBorders>
                  <w:vAlign w:val="center"/>
                </w:tcPr>
                <w:p w14:paraId="7C0D8757">
                  <w:pPr>
                    <w:snapToGrid w:val="0"/>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ISO/IEC 2382-31-1997</w:t>
                  </w:r>
                </w:p>
              </w:tc>
              <w:tc>
                <w:tcPr>
                  <w:tcW w:w="4459" w:type="dxa"/>
                  <w:tcBorders>
                    <w:top w:val="single" w:color="auto" w:sz="4" w:space="0"/>
                    <w:left w:val="single" w:color="auto" w:sz="4" w:space="0"/>
                    <w:bottom w:val="single" w:color="auto" w:sz="4" w:space="0"/>
                    <w:right w:val="single" w:color="auto" w:sz="4" w:space="0"/>
                  </w:tcBorders>
                  <w:vAlign w:val="center"/>
                </w:tcPr>
                <w:p w14:paraId="2E0E09CB">
                  <w:pPr>
                    <w:snapToGrid w:val="0"/>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信息技术 词汇 第31部分：人工智能 机器学习 两种语言版</w:t>
                  </w:r>
                </w:p>
              </w:tc>
            </w:tr>
            <w:tr w14:paraId="5533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8" w:type="dxa"/>
                  <w:left w:w="108" w:type="dxa"/>
                  <w:bottom w:w="68" w:type="dxa"/>
                  <w:right w:w="108" w:type="dxa"/>
                </w:tblCellMar>
              </w:tblPrEx>
              <w:trPr>
                <w:trHeight w:val="397" w:hRule="atLeast"/>
                <w:jc w:val="center"/>
              </w:trPr>
              <w:tc>
                <w:tcPr>
                  <w:tcW w:w="839" w:type="dxa"/>
                  <w:tcBorders>
                    <w:top w:val="single" w:color="auto" w:sz="4" w:space="0"/>
                    <w:left w:val="single" w:color="auto" w:sz="4" w:space="0"/>
                    <w:bottom w:val="single" w:color="auto" w:sz="4" w:space="0"/>
                    <w:right w:val="single" w:color="auto" w:sz="4" w:space="0"/>
                  </w:tcBorders>
                  <w:vAlign w:val="center"/>
                </w:tcPr>
                <w:p w14:paraId="2341E87A">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2</w:t>
                  </w:r>
                </w:p>
              </w:tc>
              <w:tc>
                <w:tcPr>
                  <w:tcW w:w="2909" w:type="dxa"/>
                  <w:tcBorders>
                    <w:top w:val="single" w:color="auto" w:sz="4" w:space="0"/>
                    <w:left w:val="single" w:color="auto" w:sz="4" w:space="0"/>
                    <w:bottom w:val="single" w:color="auto" w:sz="4" w:space="0"/>
                    <w:right w:val="single" w:color="auto" w:sz="4" w:space="0"/>
                  </w:tcBorders>
                  <w:vAlign w:val="center"/>
                </w:tcPr>
                <w:p w14:paraId="32804DFD">
                  <w:pPr>
                    <w:snapToGrid w:val="0"/>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ISO/IEC 2382-34-1999</w:t>
                  </w:r>
                </w:p>
              </w:tc>
              <w:tc>
                <w:tcPr>
                  <w:tcW w:w="4459" w:type="dxa"/>
                  <w:tcBorders>
                    <w:top w:val="single" w:color="auto" w:sz="4" w:space="0"/>
                    <w:left w:val="single" w:color="auto" w:sz="4" w:space="0"/>
                    <w:bottom w:val="single" w:color="auto" w:sz="4" w:space="0"/>
                    <w:right w:val="single" w:color="auto" w:sz="4" w:space="0"/>
                  </w:tcBorders>
                  <w:vAlign w:val="center"/>
                </w:tcPr>
                <w:p w14:paraId="7F3CA930">
                  <w:pPr>
                    <w:snapToGrid w:val="0"/>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信息技术 词汇 第34部分：人工智能 神经网络 两种语言版</w:t>
                  </w:r>
                </w:p>
              </w:tc>
            </w:tr>
            <w:tr w14:paraId="00BDC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8" w:type="dxa"/>
                  <w:left w:w="108" w:type="dxa"/>
                  <w:bottom w:w="68" w:type="dxa"/>
                  <w:right w:w="108" w:type="dxa"/>
                </w:tblCellMar>
              </w:tblPrEx>
              <w:trPr>
                <w:trHeight w:val="397" w:hRule="atLeast"/>
                <w:jc w:val="center"/>
              </w:trPr>
              <w:tc>
                <w:tcPr>
                  <w:tcW w:w="839" w:type="dxa"/>
                  <w:tcBorders>
                    <w:top w:val="single" w:color="auto" w:sz="4" w:space="0"/>
                    <w:left w:val="single" w:color="auto" w:sz="4" w:space="0"/>
                    <w:bottom w:val="single" w:color="auto" w:sz="4" w:space="0"/>
                    <w:right w:val="single" w:color="auto" w:sz="4" w:space="0"/>
                  </w:tcBorders>
                  <w:vAlign w:val="center"/>
                </w:tcPr>
                <w:p w14:paraId="39548A3D">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3</w:t>
                  </w:r>
                </w:p>
              </w:tc>
              <w:tc>
                <w:tcPr>
                  <w:tcW w:w="2909" w:type="dxa"/>
                  <w:tcBorders>
                    <w:top w:val="single" w:color="auto" w:sz="4" w:space="0"/>
                    <w:left w:val="single" w:color="auto" w:sz="4" w:space="0"/>
                    <w:bottom w:val="single" w:color="auto" w:sz="4" w:space="0"/>
                    <w:right w:val="single" w:color="auto" w:sz="4" w:space="0"/>
                  </w:tcBorders>
                  <w:vAlign w:val="center"/>
                </w:tcPr>
                <w:p w14:paraId="7B48064C">
                  <w:pPr>
                    <w:snapToGrid w:val="0"/>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GB/T 5271.31-2006</w:t>
                  </w:r>
                </w:p>
              </w:tc>
              <w:tc>
                <w:tcPr>
                  <w:tcW w:w="4459" w:type="dxa"/>
                  <w:tcBorders>
                    <w:top w:val="single" w:color="auto" w:sz="4" w:space="0"/>
                    <w:left w:val="single" w:color="auto" w:sz="4" w:space="0"/>
                    <w:bottom w:val="single" w:color="auto" w:sz="4" w:space="0"/>
                    <w:right w:val="single" w:color="auto" w:sz="4" w:space="0"/>
                  </w:tcBorders>
                  <w:vAlign w:val="center"/>
                </w:tcPr>
                <w:p w14:paraId="15267E09">
                  <w:pPr>
                    <w:snapToGrid w:val="0"/>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信息技术 词汇 第31部分：人工智能 机器学习</w:t>
                  </w:r>
                </w:p>
              </w:tc>
            </w:tr>
            <w:tr w14:paraId="0F6A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8" w:type="dxa"/>
                  <w:left w:w="108" w:type="dxa"/>
                  <w:bottom w:w="68" w:type="dxa"/>
                  <w:right w:w="108" w:type="dxa"/>
                </w:tblCellMar>
              </w:tblPrEx>
              <w:trPr>
                <w:trHeight w:val="397" w:hRule="atLeast"/>
                <w:jc w:val="center"/>
              </w:trPr>
              <w:tc>
                <w:tcPr>
                  <w:tcW w:w="839" w:type="dxa"/>
                  <w:tcBorders>
                    <w:top w:val="single" w:color="auto" w:sz="4" w:space="0"/>
                    <w:left w:val="single" w:color="auto" w:sz="4" w:space="0"/>
                    <w:bottom w:val="single" w:color="auto" w:sz="4" w:space="0"/>
                    <w:right w:val="single" w:color="auto" w:sz="4" w:space="0"/>
                  </w:tcBorders>
                  <w:vAlign w:val="center"/>
                </w:tcPr>
                <w:p w14:paraId="0C5945ED">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4</w:t>
                  </w:r>
                </w:p>
              </w:tc>
              <w:tc>
                <w:tcPr>
                  <w:tcW w:w="2909" w:type="dxa"/>
                  <w:tcBorders>
                    <w:top w:val="single" w:color="auto" w:sz="4" w:space="0"/>
                    <w:left w:val="single" w:color="auto" w:sz="4" w:space="0"/>
                    <w:bottom w:val="single" w:color="auto" w:sz="4" w:space="0"/>
                    <w:right w:val="single" w:color="auto" w:sz="4" w:space="0"/>
                  </w:tcBorders>
                  <w:vAlign w:val="center"/>
                </w:tcPr>
                <w:p w14:paraId="57DC4906">
                  <w:pPr>
                    <w:snapToGrid w:val="0"/>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GB/T 5271.34-2006</w:t>
                  </w:r>
                </w:p>
              </w:tc>
              <w:tc>
                <w:tcPr>
                  <w:tcW w:w="4459" w:type="dxa"/>
                  <w:tcBorders>
                    <w:top w:val="single" w:color="auto" w:sz="4" w:space="0"/>
                    <w:left w:val="single" w:color="auto" w:sz="4" w:space="0"/>
                    <w:bottom w:val="single" w:color="auto" w:sz="4" w:space="0"/>
                    <w:right w:val="single" w:color="auto" w:sz="4" w:space="0"/>
                  </w:tcBorders>
                  <w:vAlign w:val="center"/>
                </w:tcPr>
                <w:p w14:paraId="38EA4BCD">
                  <w:pPr>
                    <w:snapToGrid w:val="0"/>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信息技术 词汇 第34部分：人工智能 神经网络</w:t>
                  </w:r>
                </w:p>
              </w:tc>
            </w:tr>
          </w:tbl>
          <w:p w14:paraId="0E576DF9">
            <w:pPr>
              <w:widowControl/>
              <w:snapToGrid w:val="0"/>
              <w:spacing w:before="62" w:after="62" w:line="560" w:lineRule="exact"/>
              <w:ind w:firstLine="480"/>
              <w:rPr>
                <w:rFonts w:hint="eastAsia" w:ascii="黑体" w:hAnsi="黑体" w:eastAsia="黑体" w:cs="黑体"/>
                <w:sz w:val="24"/>
                <w:szCs w:val="24"/>
              </w:rPr>
            </w:pPr>
            <w:r>
              <w:rPr>
                <w:rFonts w:hint="eastAsia" w:ascii="黑体" w:hAnsi="黑体" w:eastAsia="黑体" w:cs="黑体"/>
                <w:sz w:val="24"/>
                <w:szCs w:val="24"/>
              </w:rPr>
              <w:t>（二）软件开发标准</w:t>
            </w:r>
          </w:p>
          <w:tbl>
            <w:tblPr>
              <w:tblStyle w:val="4"/>
              <w:tblW w:w="8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2726"/>
              <w:gridCol w:w="5644"/>
            </w:tblGrid>
            <w:tr w14:paraId="5C29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95" w:hRule="atLeast"/>
                <w:jc w:val="center"/>
              </w:trPr>
              <w:tc>
                <w:tcPr>
                  <w:tcW w:w="2726" w:type="dxa"/>
                  <w:tcBorders>
                    <w:top w:val="single" w:color="auto" w:sz="4" w:space="0"/>
                    <w:left w:val="single" w:color="auto" w:sz="4" w:space="0"/>
                    <w:bottom w:val="single" w:color="auto" w:sz="4" w:space="0"/>
                    <w:right w:val="single" w:color="auto" w:sz="4" w:space="0"/>
                  </w:tcBorders>
                  <w:shd w:val="clear" w:color="auto" w:fill="FFFFFF"/>
                  <w:vAlign w:val="center"/>
                </w:tcPr>
                <w:p w14:paraId="4B22A21A">
                  <w:pPr>
                    <w:adjustRightInd w:val="0"/>
                    <w:snapToGrid w:val="0"/>
                    <w:spacing w:before="62" w:after="62" w:line="240" w:lineRule="auto"/>
                    <w:ind w:firstLine="400"/>
                    <w:jc w:val="center"/>
                    <w:rPr>
                      <w:rFonts w:hint="eastAsia" w:ascii="仿宋" w:hAnsi="仿宋" w:eastAsia="仿宋" w:cs="仿宋"/>
                      <w:sz w:val="20"/>
                      <w:szCs w:val="20"/>
                    </w:rPr>
                  </w:pPr>
                  <w:r>
                    <w:rPr>
                      <w:rFonts w:hint="eastAsia" w:ascii="仿宋" w:hAnsi="仿宋" w:eastAsia="仿宋" w:cs="仿宋"/>
                      <w:sz w:val="20"/>
                      <w:szCs w:val="20"/>
                    </w:rPr>
                    <w:t>标 准</w:t>
                  </w:r>
                </w:p>
              </w:tc>
              <w:tc>
                <w:tcPr>
                  <w:tcW w:w="5644" w:type="dxa"/>
                  <w:tcBorders>
                    <w:top w:val="single" w:color="auto" w:sz="4" w:space="0"/>
                    <w:left w:val="single" w:color="auto" w:sz="4" w:space="0"/>
                    <w:bottom w:val="single" w:color="auto" w:sz="4" w:space="0"/>
                    <w:right w:val="single" w:color="auto" w:sz="4" w:space="0"/>
                  </w:tcBorders>
                  <w:shd w:val="clear" w:color="auto" w:fill="FFFFFF"/>
                  <w:vAlign w:val="center"/>
                </w:tcPr>
                <w:p w14:paraId="0AB1A593">
                  <w:pPr>
                    <w:adjustRightInd w:val="0"/>
                    <w:snapToGrid w:val="0"/>
                    <w:spacing w:before="62" w:after="62" w:line="240" w:lineRule="auto"/>
                    <w:ind w:firstLine="400"/>
                    <w:jc w:val="center"/>
                    <w:rPr>
                      <w:rFonts w:hint="eastAsia" w:ascii="仿宋" w:hAnsi="仿宋" w:eastAsia="仿宋" w:cs="仿宋"/>
                      <w:sz w:val="20"/>
                      <w:szCs w:val="20"/>
                    </w:rPr>
                  </w:pPr>
                  <w:r>
                    <w:rPr>
                      <w:rFonts w:hint="eastAsia" w:ascii="仿宋" w:hAnsi="仿宋" w:eastAsia="仿宋" w:cs="仿宋"/>
                      <w:sz w:val="20"/>
                      <w:szCs w:val="20"/>
                    </w:rPr>
                    <w:t>内 容</w:t>
                  </w:r>
                </w:p>
              </w:tc>
            </w:tr>
            <w:tr w14:paraId="34A8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26" w:hRule="atLeast"/>
                <w:jc w:val="center"/>
              </w:trPr>
              <w:tc>
                <w:tcPr>
                  <w:tcW w:w="2726" w:type="dxa"/>
                  <w:tcBorders>
                    <w:top w:val="single" w:color="auto" w:sz="4" w:space="0"/>
                    <w:left w:val="single" w:color="auto" w:sz="4" w:space="0"/>
                    <w:bottom w:val="single" w:color="auto" w:sz="4" w:space="0"/>
                    <w:right w:val="single" w:color="auto" w:sz="4" w:space="0"/>
                  </w:tcBorders>
                  <w:shd w:val="clear" w:color="auto" w:fill="FFFFFF"/>
                  <w:vAlign w:val="center"/>
                </w:tcPr>
                <w:p w14:paraId="4903A242">
                  <w:pPr>
                    <w:adjustRightInd w:val="0"/>
                    <w:snapToGrid w:val="0"/>
                    <w:spacing w:before="62" w:after="62" w:line="240" w:lineRule="auto"/>
                    <w:ind w:firstLine="400"/>
                    <w:rPr>
                      <w:rFonts w:hint="eastAsia" w:ascii="仿宋" w:hAnsi="仿宋" w:eastAsia="仿宋" w:cs="仿宋"/>
                      <w:sz w:val="20"/>
                      <w:szCs w:val="20"/>
                    </w:rPr>
                  </w:pPr>
                  <w:r>
                    <w:rPr>
                      <w:rFonts w:hint="eastAsia" w:ascii="仿宋" w:hAnsi="仿宋" w:eastAsia="仿宋" w:cs="仿宋"/>
                      <w:sz w:val="20"/>
                      <w:szCs w:val="20"/>
                    </w:rPr>
                    <w:t>GB/T 8566 -2001</w:t>
                  </w:r>
                </w:p>
              </w:tc>
              <w:tc>
                <w:tcPr>
                  <w:tcW w:w="5644" w:type="dxa"/>
                  <w:tcBorders>
                    <w:top w:val="single" w:color="auto" w:sz="4" w:space="0"/>
                    <w:left w:val="single" w:color="auto" w:sz="4" w:space="0"/>
                    <w:bottom w:val="single" w:color="auto" w:sz="4" w:space="0"/>
                    <w:right w:val="single" w:color="auto" w:sz="4" w:space="0"/>
                  </w:tcBorders>
                  <w:shd w:val="clear" w:color="auto" w:fill="FFFFFF"/>
                  <w:vAlign w:val="center"/>
                </w:tcPr>
                <w:p w14:paraId="2B74A348">
                  <w:pPr>
                    <w:adjustRightInd w:val="0"/>
                    <w:snapToGrid w:val="0"/>
                    <w:spacing w:before="62" w:after="62" w:line="240" w:lineRule="auto"/>
                    <w:ind w:firstLine="400"/>
                    <w:rPr>
                      <w:rFonts w:hint="eastAsia" w:ascii="仿宋" w:hAnsi="仿宋" w:eastAsia="仿宋" w:cs="仿宋"/>
                      <w:sz w:val="20"/>
                      <w:szCs w:val="20"/>
                    </w:rPr>
                  </w:pPr>
                  <w:r>
                    <w:rPr>
                      <w:rFonts w:hint="eastAsia" w:ascii="仿宋" w:hAnsi="仿宋" w:eastAsia="仿宋" w:cs="仿宋"/>
                      <w:sz w:val="20"/>
                      <w:szCs w:val="20"/>
                    </w:rPr>
                    <w:t xml:space="preserve">信息技术软件生存周期过程 </w:t>
                  </w:r>
                </w:p>
              </w:tc>
            </w:tr>
            <w:tr w14:paraId="745A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59" w:hRule="atLeast"/>
                <w:jc w:val="center"/>
              </w:trPr>
              <w:tc>
                <w:tcPr>
                  <w:tcW w:w="2726" w:type="dxa"/>
                  <w:tcBorders>
                    <w:top w:val="single" w:color="auto" w:sz="4" w:space="0"/>
                    <w:left w:val="single" w:color="auto" w:sz="4" w:space="0"/>
                    <w:bottom w:val="single" w:color="auto" w:sz="4" w:space="0"/>
                    <w:right w:val="single" w:color="auto" w:sz="4" w:space="0"/>
                  </w:tcBorders>
                  <w:shd w:val="clear" w:color="auto" w:fill="FFFFFF"/>
                  <w:vAlign w:val="center"/>
                </w:tcPr>
                <w:p w14:paraId="4A79563E">
                  <w:pPr>
                    <w:adjustRightInd w:val="0"/>
                    <w:snapToGrid w:val="0"/>
                    <w:spacing w:before="62" w:after="62" w:line="240" w:lineRule="auto"/>
                    <w:ind w:firstLine="400"/>
                    <w:rPr>
                      <w:rFonts w:hint="eastAsia" w:ascii="仿宋" w:hAnsi="仿宋" w:eastAsia="仿宋" w:cs="仿宋"/>
                      <w:sz w:val="20"/>
                      <w:szCs w:val="20"/>
                    </w:rPr>
                  </w:pPr>
                  <w:r>
                    <w:rPr>
                      <w:rFonts w:hint="eastAsia" w:ascii="仿宋" w:hAnsi="仿宋" w:eastAsia="仿宋" w:cs="仿宋"/>
                      <w:sz w:val="20"/>
                      <w:szCs w:val="20"/>
                    </w:rPr>
                    <w:t>GB/T 15853 -1995</w:t>
                  </w:r>
                </w:p>
              </w:tc>
              <w:tc>
                <w:tcPr>
                  <w:tcW w:w="5644" w:type="dxa"/>
                  <w:tcBorders>
                    <w:top w:val="single" w:color="auto" w:sz="4" w:space="0"/>
                    <w:left w:val="single" w:color="auto" w:sz="4" w:space="0"/>
                    <w:bottom w:val="single" w:color="auto" w:sz="4" w:space="0"/>
                    <w:right w:val="single" w:color="auto" w:sz="4" w:space="0"/>
                  </w:tcBorders>
                  <w:shd w:val="clear" w:color="auto" w:fill="FFFFFF"/>
                  <w:vAlign w:val="center"/>
                </w:tcPr>
                <w:p w14:paraId="2BEE69B5">
                  <w:pPr>
                    <w:adjustRightInd w:val="0"/>
                    <w:snapToGrid w:val="0"/>
                    <w:spacing w:before="62" w:after="62" w:line="240" w:lineRule="auto"/>
                    <w:ind w:firstLine="400"/>
                    <w:rPr>
                      <w:rFonts w:hint="eastAsia" w:ascii="仿宋" w:hAnsi="仿宋" w:eastAsia="仿宋" w:cs="仿宋"/>
                      <w:sz w:val="20"/>
                      <w:szCs w:val="20"/>
                    </w:rPr>
                  </w:pPr>
                  <w:r>
                    <w:rPr>
                      <w:rFonts w:hint="eastAsia" w:ascii="仿宋" w:hAnsi="仿宋" w:eastAsia="仿宋" w:cs="仿宋"/>
                      <w:sz w:val="20"/>
                      <w:szCs w:val="20"/>
                    </w:rPr>
                    <w:t xml:space="preserve">软件支持环境 </w:t>
                  </w:r>
                </w:p>
              </w:tc>
            </w:tr>
            <w:tr w14:paraId="233B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53" w:hRule="atLeast"/>
                <w:jc w:val="center"/>
              </w:trPr>
              <w:tc>
                <w:tcPr>
                  <w:tcW w:w="2726" w:type="dxa"/>
                  <w:tcBorders>
                    <w:top w:val="single" w:color="auto" w:sz="4" w:space="0"/>
                    <w:left w:val="single" w:color="auto" w:sz="4" w:space="0"/>
                    <w:bottom w:val="single" w:color="auto" w:sz="4" w:space="0"/>
                    <w:right w:val="single" w:color="auto" w:sz="4" w:space="0"/>
                  </w:tcBorders>
                  <w:shd w:val="clear" w:color="auto" w:fill="FFFFFF"/>
                  <w:vAlign w:val="center"/>
                </w:tcPr>
                <w:p w14:paraId="3DF5FA2E">
                  <w:pPr>
                    <w:adjustRightInd w:val="0"/>
                    <w:snapToGrid w:val="0"/>
                    <w:spacing w:before="62" w:after="62" w:line="240" w:lineRule="auto"/>
                    <w:ind w:firstLine="400"/>
                    <w:rPr>
                      <w:rFonts w:hint="eastAsia" w:ascii="仿宋" w:hAnsi="仿宋" w:eastAsia="仿宋" w:cs="仿宋"/>
                      <w:sz w:val="20"/>
                      <w:szCs w:val="20"/>
                    </w:rPr>
                  </w:pPr>
                  <w:r>
                    <w:rPr>
                      <w:rFonts w:hint="eastAsia" w:ascii="仿宋" w:hAnsi="仿宋" w:eastAsia="仿宋" w:cs="仿宋"/>
                      <w:sz w:val="20"/>
                      <w:szCs w:val="20"/>
                    </w:rPr>
                    <w:t>GB/T 14079 -1993</w:t>
                  </w:r>
                </w:p>
              </w:tc>
              <w:tc>
                <w:tcPr>
                  <w:tcW w:w="5644" w:type="dxa"/>
                  <w:tcBorders>
                    <w:top w:val="single" w:color="auto" w:sz="4" w:space="0"/>
                    <w:left w:val="single" w:color="auto" w:sz="4" w:space="0"/>
                    <w:bottom w:val="single" w:color="auto" w:sz="4" w:space="0"/>
                    <w:right w:val="single" w:color="auto" w:sz="4" w:space="0"/>
                  </w:tcBorders>
                  <w:shd w:val="clear" w:color="auto" w:fill="FFFFFF"/>
                  <w:vAlign w:val="center"/>
                </w:tcPr>
                <w:p w14:paraId="208B835D">
                  <w:pPr>
                    <w:adjustRightInd w:val="0"/>
                    <w:snapToGrid w:val="0"/>
                    <w:spacing w:before="62" w:after="62" w:line="240" w:lineRule="auto"/>
                    <w:ind w:firstLine="400"/>
                    <w:rPr>
                      <w:rFonts w:hint="eastAsia" w:ascii="仿宋" w:hAnsi="仿宋" w:eastAsia="仿宋" w:cs="仿宋"/>
                      <w:sz w:val="20"/>
                      <w:szCs w:val="20"/>
                    </w:rPr>
                  </w:pPr>
                  <w:r>
                    <w:rPr>
                      <w:rFonts w:hint="eastAsia" w:ascii="仿宋" w:hAnsi="仿宋" w:eastAsia="仿宋" w:cs="仿宋"/>
                      <w:sz w:val="20"/>
                      <w:szCs w:val="20"/>
                    </w:rPr>
                    <w:t>软件维护指南</w:t>
                  </w:r>
                </w:p>
              </w:tc>
            </w:tr>
            <w:tr w14:paraId="5AF9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5" w:hRule="atLeast"/>
                <w:jc w:val="center"/>
              </w:trPr>
              <w:tc>
                <w:tcPr>
                  <w:tcW w:w="2726" w:type="dxa"/>
                  <w:tcBorders>
                    <w:top w:val="single" w:color="auto" w:sz="4" w:space="0"/>
                    <w:left w:val="single" w:color="auto" w:sz="4" w:space="0"/>
                    <w:bottom w:val="single" w:color="auto" w:sz="4" w:space="0"/>
                    <w:right w:val="single" w:color="auto" w:sz="4" w:space="0"/>
                  </w:tcBorders>
                  <w:shd w:val="clear" w:color="auto" w:fill="FFFFFF"/>
                  <w:vAlign w:val="center"/>
                </w:tcPr>
                <w:p w14:paraId="36EB57D3">
                  <w:pPr>
                    <w:adjustRightInd w:val="0"/>
                    <w:snapToGrid w:val="0"/>
                    <w:spacing w:before="62" w:after="62" w:line="240" w:lineRule="auto"/>
                    <w:ind w:firstLine="400"/>
                    <w:rPr>
                      <w:rFonts w:hint="eastAsia" w:ascii="仿宋" w:hAnsi="仿宋" w:eastAsia="仿宋" w:cs="仿宋"/>
                      <w:sz w:val="20"/>
                      <w:szCs w:val="20"/>
                    </w:rPr>
                  </w:pPr>
                  <w:r>
                    <w:rPr>
                      <w:rFonts w:hint="eastAsia" w:ascii="仿宋" w:hAnsi="仿宋" w:eastAsia="仿宋" w:cs="仿宋"/>
                      <w:sz w:val="20"/>
                      <w:szCs w:val="20"/>
                    </w:rPr>
                    <w:t>GB/T 17544-1998</w:t>
                  </w:r>
                </w:p>
              </w:tc>
              <w:tc>
                <w:tcPr>
                  <w:tcW w:w="5644" w:type="dxa"/>
                  <w:tcBorders>
                    <w:top w:val="single" w:color="auto" w:sz="4" w:space="0"/>
                    <w:left w:val="single" w:color="auto" w:sz="4" w:space="0"/>
                    <w:bottom w:val="single" w:color="auto" w:sz="4" w:space="0"/>
                    <w:right w:val="single" w:color="auto" w:sz="4" w:space="0"/>
                  </w:tcBorders>
                  <w:shd w:val="clear" w:color="auto" w:fill="FFFFFF"/>
                  <w:vAlign w:val="center"/>
                </w:tcPr>
                <w:p w14:paraId="7D9512AA">
                  <w:pPr>
                    <w:adjustRightInd w:val="0"/>
                    <w:snapToGrid w:val="0"/>
                    <w:spacing w:before="62" w:after="62" w:line="240" w:lineRule="auto"/>
                    <w:ind w:firstLine="400"/>
                    <w:rPr>
                      <w:rFonts w:hint="eastAsia" w:ascii="仿宋" w:hAnsi="仿宋" w:eastAsia="仿宋" w:cs="仿宋"/>
                      <w:sz w:val="20"/>
                      <w:szCs w:val="20"/>
                    </w:rPr>
                  </w:pPr>
                  <w:r>
                    <w:rPr>
                      <w:rFonts w:hint="eastAsia" w:ascii="仿宋" w:hAnsi="仿宋" w:eastAsia="仿宋" w:cs="仿宋"/>
                      <w:sz w:val="20"/>
                      <w:szCs w:val="20"/>
                    </w:rPr>
                    <w:t>信息技术软件包质量要求和测试</w:t>
                  </w:r>
                </w:p>
              </w:tc>
            </w:tr>
          </w:tbl>
          <w:p w14:paraId="43405415">
            <w:pPr>
              <w:spacing w:before="62" w:after="62"/>
              <w:ind w:firstLine="640"/>
            </w:pPr>
          </w:p>
        </w:tc>
      </w:tr>
    </w:tbl>
    <w:p w14:paraId="45FE1366">
      <w:pPr>
        <w:snapToGrid w:val="0"/>
        <w:spacing w:before="62" w:after="62" w:line="560" w:lineRule="exact"/>
        <w:ind w:firstLine="0" w:firstLineChars="0"/>
        <w:rPr>
          <w:sz w:val="30"/>
          <w:szCs w:val="30"/>
        </w:rPr>
      </w:pPr>
      <w:r>
        <w:rPr>
          <w:rFonts w:hint="eastAsia"/>
          <w:sz w:val="30"/>
          <w:szCs w:val="30"/>
        </w:rPr>
        <w:t>八、技术环境</w:t>
      </w:r>
    </w:p>
    <w:tbl>
      <w:tblPr>
        <w:tblStyle w:val="5"/>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14:paraId="47072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0" w:hRule="atLeast"/>
        </w:trPr>
        <w:tc>
          <w:tcPr>
            <w:tcW w:w="8319" w:type="dxa"/>
          </w:tcPr>
          <w:p w14:paraId="3F3AF8E3">
            <w:pPr>
              <w:widowControl/>
              <w:spacing w:before="62" w:after="62" w:line="560" w:lineRule="exact"/>
              <w:ind w:firstLine="480"/>
              <w:outlineLvl w:val="1"/>
              <w:rPr>
                <w:rFonts w:hint="eastAsia" w:ascii="黑体" w:hAnsi="黑体" w:eastAsia="黑体" w:cs="黑体"/>
                <w:sz w:val="24"/>
                <w:szCs w:val="24"/>
              </w:rPr>
            </w:pPr>
            <w:r>
              <w:rPr>
                <w:rFonts w:hint="eastAsia" w:ascii="黑体" w:hAnsi="黑体" w:eastAsia="黑体" w:cs="黑体"/>
                <w:sz w:val="24"/>
                <w:szCs w:val="24"/>
              </w:rPr>
              <w:t>（一）竞赛环境</w:t>
            </w:r>
          </w:p>
          <w:p w14:paraId="546AE538">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1.竞赛场地。竞赛现场设置竞赛区、裁判区、服务区、技术支持区。现场保证良好的采光、照明和通风；提供稳定的水、电和供电应急设备。同时提供所有指导教师休息室1间。</w:t>
            </w:r>
          </w:p>
          <w:p w14:paraId="23E87D7F">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2.竞赛设备。所有竞赛设备由承办校负责提供和保障，按照参赛队数量准备比赛所需的软硬件平台，为参赛队提供标准竞赛设备。</w:t>
            </w:r>
          </w:p>
          <w:p w14:paraId="2923370C">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3.竞赛工位。竞赛现场各个工作区配备单相220V/3A以上交流电源。每个比赛工位上标明编号。每个比赛间配有工作台，用于摆放计算机和其它调试设备工具等。同时，配备1把工作椅（凳）。</w:t>
            </w:r>
          </w:p>
          <w:p w14:paraId="47038CE5">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4.技术支持区为参赛选手提供公用备件等竞赛相关设备。【竞赛报名成功后，竞赛QQ群内将同步后续通知。若到校熟悉环境、设备或咨询其他事宜，可联系会务组，李老师：13577048574】。</w:t>
            </w:r>
          </w:p>
          <w:p w14:paraId="6E40F63E">
            <w:pPr>
              <w:snapToGrid w:val="0"/>
              <w:spacing w:before="62" w:after="62" w:line="560" w:lineRule="exact"/>
              <w:ind w:firstLine="480"/>
              <w:rPr>
                <w:rFonts w:ascii="仿宋_GB2312" w:hAnsi="Arial Narrow" w:cs="Arial"/>
                <w:sz w:val="24"/>
                <w:szCs w:val="24"/>
              </w:rPr>
            </w:pPr>
            <w:r>
              <w:rPr>
                <w:rFonts w:hint="eastAsia" w:ascii="仿宋" w:hAnsi="仿宋" w:eastAsia="仿宋" w:cs="宋体"/>
                <w:sz w:val="24"/>
                <w:szCs w:val="24"/>
              </w:rPr>
              <w:t>5.服务区提供医疗等服务保障。</w:t>
            </w:r>
          </w:p>
          <w:p w14:paraId="4D33AC8C">
            <w:pPr>
              <w:widowControl/>
              <w:spacing w:before="62" w:after="62" w:line="560" w:lineRule="exact"/>
              <w:ind w:firstLine="480"/>
              <w:outlineLvl w:val="1"/>
              <w:rPr>
                <w:rFonts w:hint="eastAsia" w:ascii="黑体" w:hAnsi="黑体" w:eastAsia="黑体" w:cs="黑体"/>
                <w:sz w:val="24"/>
                <w:szCs w:val="24"/>
              </w:rPr>
            </w:pPr>
            <w:r>
              <w:rPr>
                <w:rFonts w:hint="eastAsia" w:ascii="黑体" w:hAnsi="黑体" w:eastAsia="黑体" w:cs="黑体"/>
                <w:sz w:val="24"/>
                <w:szCs w:val="24"/>
              </w:rPr>
              <w:t>（二）技术平台</w:t>
            </w:r>
          </w:p>
          <w:p w14:paraId="526F52CC">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竞赛支持单位提供的竞赛设备与平台包括人工智能前端设备应用实训平台、人工智能教学实验平台及相关软件平台工具。</w:t>
            </w:r>
          </w:p>
          <w:p w14:paraId="13C83115">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具备jupyter编译环境，搭载python和python3的内核，支持图像，自然语言类人工智能模型开发调试，并且可以配合集成的物联网设备进行不同场景的系统开发的平台均可选用。</w:t>
            </w:r>
          </w:p>
          <w:p w14:paraId="020FA55C">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人工智能前端设备应用实训平台由嵌入式人工智能核心开发板、图像/语音采集模块、传感器采集模块、执行器等硬件模块组成。开发板基于边缘计算芯片，具有高可扩展性和强大的AI计算能力，支持多sensor输入，集成丰富的硬件接口，内置各类深度学习算法，支持模型重训、模型评估，支持构建算法应用，NLE-AI800开发板的功能强劲表现为算法识别延迟低、可满足端末同时处理多个算法需求、实现人体骨骼检测与可视化显示的性能要求，支撑从竞赛、教学、应用到科研技术方案支撑，满足基于企业级人工智能模型与应用竞赛内容的服务支撑。</w:t>
            </w:r>
          </w:p>
          <w:p w14:paraId="2D476CC6">
            <w:pPr>
              <w:snapToGrid w:val="0"/>
              <w:spacing w:before="62" w:after="62" w:line="560" w:lineRule="exact"/>
              <w:ind w:firstLine="480"/>
              <w:rPr>
                <w:rFonts w:hint="eastAsia" w:ascii="仿宋" w:hAnsi="仿宋" w:eastAsia="仿宋" w:cs="宋体"/>
                <w:sz w:val="24"/>
                <w:szCs w:val="24"/>
              </w:rPr>
            </w:pPr>
            <w:r>
              <w:rPr>
                <w:rFonts w:hint="eastAsia" w:ascii="仿宋" w:hAnsi="仿宋" w:eastAsia="仿宋" w:cs="宋体"/>
                <w:sz w:val="24"/>
                <w:szCs w:val="24"/>
              </w:rPr>
              <w:t>人工智能教学实验平台是针对AI学习者的在线一体化学习与实验的平台。平台支撑AI专业课程体系对应课程、实验案例的教学实训,满足主流深度学习框架的各类实验案例,可在线完成分类、建模、分析、可视化、结果输出等任务，并支持私有化部署和云边端协同。平台包含实训软件、硬件设备及实训资源三部分。</w:t>
            </w:r>
          </w:p>
          <w:p w14:paraId="2824C42C">
            <w:pPr>
              <w:snapToGrid w:val="0"/>
              <w:spacing w:before="62" w:after="62" w:line="560" w:lineRule="exact"/>
              <w:ind w:firstLine="480"/>
              <w:rPr>
                <w:rFonts w:hint="eastAsia" w:ascii="仿宋" w:hAnsi="仿宋" w:eastAsia="仿宋" w:cs="仿宋"/>
                <w:sz w:val="24"/>
                <w:szCs w:val="24"/>
              </w:rPr>
            </w:pPr>
            <w:r>
              <w:rPr>
                <w:rFonts w:hint="eastAsia" w:ascii="仿宋" w:hAnsi="仿宋" w:eastAsia="仿宋" w:cs="仿宋"/>
                <w:sz w:val="24"/>
                <w:szCs w:val="24"/>
              </w:rPr>
              <w:t>竞赛平台覆盖本次竞赛考核内容，满足核心专业相关课程教学。</w:t>
            </w:r>
          </w:p>
          <w:p w14:paraId="2586871B">
            <w:pPr>
              <w:spacing w:before="62" w:beforeLines="0" w:after="62" w:afterLines="0" w:line="360" w:lineRule="auto"/>
              <w:ind w:firstLine="480"/>
              <w:rPr>
                <w:rFonts w:hint="eastAsia" w:ascii="仿宋" w:hAnsi="仿宋" w:eastAsia="仿宋" w:cs="仿宋"/>
                <w:sz w:val="24"/>
                <w:szCs w:val="24"/>
              </w:rPr>
            </w:pPr>
            <w:r>
              <w:rPr>
                <w:rFonts w:hint="eastAsia" w:ascii="仿宋" w:hAnsi="仿宋" w:eastAsia="仿宋" w:cs="仿宋"/>
                <w:sz w:val="24"/>
                <w:szCs w:val="24"/>
              </w:rPr>
              <w:t>1.每个工位所需的竞赛设备：</w:t>
            </w:r>
          </w:p>
          <w:tbl>
            <w:tblPr>
              <w:tblStyle w:val="4"/>
              <w:tblW w:w="7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1767"/>
              <w:gridCol w:w="2677"/>
              <w:gridCol w:w="882"/>
              <w:gridCol w:w="1547"/>
            </w:tblGrid>
            <w:tr w14:paraId="44A4B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59" w:type="dxa"/>
                  <w:tcBorders>
                    <w:top w:val="single" w:color="auto" w:sz="4" w:space="0"/>
                    <w:left w:val="single" w:color="auto" w:sz="4" w:space="0"/>
                    <w:bottom w:val="single" w:color="auto" w:sz="4" w:space="0"/>
                    <w:right w:val="single" w:color="auto" w:sz="4" w:space="0"/>
                  </w:tcBorders>
                </w:tcPr>
                <w:p w14:paraId="34F9D659">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序号</w:t>
                  </w:r>
                </w:p>
              </w:tc>
              <w:tc>
                <w:tcPr>
                  <w:tcW w:w="1767" w:type="dxa"/>
                  <w:tcBorders>
                    <w:top w:val="single" w:color="auto" w:sz="4" w:space="0"/>
                    <w:left w:val="single" w:color="auto" w:sz="4" w:space="0"/>
                    <w:bottom w:val="single" w:color="auto" w:sz="4" w:space="0"/>
                    <w:right w:val="single" w:color="auto" w:sz="4" w:space="0"/>
                  </w:tcBorders>
                </w:tcPr>
                <w:p w14:paraId="6FA0EF5E">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场地设施清单</w:t>
                  </w:r>
                </w:p>
              </w:tc>
              <w:tc>
                <w:tcPr>
                  <w:tcW w:w="2677" w:type="dxa"/>
                  <w:tcBorders>
                    <w:top w:val="single" w:color="auto" w:sz="4" w:space="0"/>
                    <w:left w:val="single" w:color="auto" w:sz="4" w:space="0"/>
                    <w:bottom w:val="single" w:color="auto" w:sz="4" w:space="0"/>
                    <w:right w:val="single" w:color="auto" w:sz="4" w:space="0"/>
                  </w:tcBorders>
                </w:tcPr>
                <w:p w14:paraId="0C0BDD97">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设备名称</w:t>
                  </w:r>
                </w:p>
              </w:tc>
              <w:tc>
                <w:tcPr>
                  <w:tcW w:w="882" w:type="dxa"/>
                  <w:tcBorders>
                    <w:top w:val="single" w:color="auto" w:sz="4" w:space="0"/>
                    <w:left w:val="single" w:color="auto" w:sz="4" w:space="0"/>
                    <w:bottom w:val="single" w:color="auto" w:sz="4" w:space="0"/>
                    <w:right w:val="single" w:color="auto" w:sz="4" w:space="0"/>
                  </w:tcBorders>
                </w:tcPr>
                <w:p w14:paraId="3E40A7D2">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数量</w:t>
                  </w:r>
                </w:p>
              </w:tc>
              <w:tc>
                <w:tcPr>
                  <w:tcW w:w="1547" w:type="dxa"/>
                  <w:tcBorders>
                    <w:top w:val="single" w:color="auto" w:sz="4" w:space="0"/>
                    <w:left w:val="single" w:color="auto" w:sz="4" w:space="0"/>
                    <w:bottom w:val="single" w:color="auto" w:sz="4" w:space="0"/>
                    <w:right w:val="single" w:color="auto" w:sz="4" w:space="0"/>
                  </w:tcBorders>
                </w:tcPr>
                <w:p w14:paraId="51730572">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应用区域</w:t>
                  </w:r>
                </w:p>
              </w:tc>
            </w:tr>
            <w:tr w14:paraId="6D146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59" w:type="dxa"/>
                  <w:tcBorders>
                    <w:top w:val="single" w:color="auto" w:sz="4" w:space="0"/>
                    <w:left w:val="single" w:color="auto" w:sz="4" w:space="0"/>
                    <w:bottom w:val="single" w:color="auto" w:sz="4" w:space="0"/>
                    <w:right w:val="single" w:color="auto" w:sz="4" w:space="0"/>
                  </w:tcBorders>
                  <w:vAlign w:val="center"/>
                </w:tcPr>
                <w:p w14:paraId="7F2592A5">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1</w:t>
                  </w:r>
                </w:p>
              </w:tc>
              <w:tc>
                <w:tcPr>
                  <w:tcW w:w="1767" w:type="dxa"/>
                  <w:tcBorders>
                    <w:top w:val="single" w:color="auto" w:sz="4" w:space="0"/>
                    <w:left w:val="single" w:color="auto" w:sz="4" w:space="0"/>
                    <w:bottom w:val="single" w:color="auto" w:sz="4" w:space="0"/>
                    <w:right w:val="single" w:color="auto" w:sz="4" w:space="0"/>
                  </w:tcBorders>
                  <w:vAlign w:val="center"/>
                </w:tcPr>
                <w:p w14:paraId="5F77BBC0">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工位设施设备</w:t>
                  </w:r>
                </w:p>
              </w:tc>
              <w:tc>
                <w:tcPr>
                  <w:tcW w:w="2677" w:type="dxa"/>
                  <w:tcBorders>
                    <w:top w:val="single" w:color="auto" w:sz="4" w:space="0"/>
                    <w:left w:val="single" w:color="auto" w:sz="4" w:space="0"/>
                    <w:bottom w:val="single" w:color="auto" w:sz="4" w:space="0"/>
                    <w:right w:val="single" w:color="auto" w:sz="4" w:space="0"/>
                  </w:tcBorders>
                  <w:vAlign w:val="center"/>
                </w:tcPr>
                <w:p w14:paraId="0F6A9FAD">
                  <w:pPr>
                    <w:spacing w:before="62" w:after="62" w:line="240" w:lineRule="auto"/>
                    <w:ind w:firstLine="0" w:firstLineChars="0"/>
                    <w:jc w:val="left"/>
                    <w:rPr>
                      <w:rFonts w:hint="eastAsia" w:ascii="仿宋" w:hAnsi="仿宋" w:eastAsia="仿宋" w:cs="仿宋"/>
                      <w:sz w:val="20"/>
                      <w:szCs w:val="20"/>
                    </w:rPr>
                  </w:pPr>
                  <w:r>
                    <w:rPr>
                      <w:rFonts w:hint="eastAsia" w:ascii="仿宋" w:hAnsi="仿宋" w:eastAsia="仿宋" w:cs="仿宋"/>
                      <w:sz w:val="20"/>
                      <w:szCs w:val="20"/>
                    </w:rPr>
                    <w:t>人工智能前端设备应用实训平台</w:t>
                  </w:r>
                </w:p>
              </w:tc>
              <w:tc>
                <w:tcPr>
                  <w:tcW w:w="882" w:type="dxa"/>
                  <w:tcBorders>
                    <w:top w:val="single" w:color="auto" w:sz="4" w:space="0"/>
                    <w:left w:val="single" w:color="auto" w:sz="4" w:space="0"/>
                    <w:bottom w:val="single" w:color="auto" w:sz="4" w:space="0"/>
                    <w:right w:val="single" w:color="auto" w:sz="4" w:space="0"/>
                  </w:tcBorders>
                  <w:vAlign w:val="center"/>
                </w:tcPr>
                <w:p w14:paraId="087C6B0B">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1套</w:t>
                  </w:r>
                </w:p>
              </w:tc>
              <w:tc>
                <w:tcPr>
                  <w:tcW w:w="1547" w:type="dxa"/>
                  <w:tcBorders>
                    <w:top w:val="single" w:color="auto" w:sz="4" w:space="0"/>
                    <w:left w:val="single" w:color="auto" w:sz="4" w:space="0"/>
                    <w:bottom w:val="single" w:color="auto" w:sz="4" w:space="0"/>
                    <w:right w:val="single" w:color="auto" w:sz="4" w:space="0"/>
                  </w:tcBorders>
                  <w:vAlign w:val="center"/>
                </w:tcPr>
                <w:p w14:paraId="28234B81">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操作区选手工位</w:t>
                  </w:r>
                </w:p>
              </w:tc>
            </w:tr>
            <w:tr w14:paraId="20EF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59" w:type="dxa"/>
                  <w:tcBorders>
                    <w:top w:val="single" w:color="auto" w:sz="4" w:space="0"/>
                    <w:left w:val="single" w:color="auto" w:sz="4" w:space="0"/>
                    <w:bottom w:val="single" w:color="auto" w:sz="4" w:space="0"/>
                    <w:right w:val="single" w:color="auto" w:sz="4" w:space="0"/>
                  </w:tcBorders>
                  <w:vAlign w:val="center"/>
                </w:tcPr>
                <w:p w14:paraId="4351491B">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2</w:t>
                  </w:r>
                </w:p>
              </w:tc>
              <w:tc>
                <w:tcPr>
                  <w:tcW w:w="1767" w:type="dxa"/>
                  <w:tcBorders>
                    <w:top w:val="single" w:color="auto" w:sz="4" w:space="0"/>
                    <w:left w:val="single" w:color="auto" w:sz="4" w:space="0"/>
                    <w:bottom w:val="single" w:color="auto" w:sz="4" w:space="0"/>
                    <w:right w:val="single" w:color="auto" w:sz="4" w:space="0"/>
                  </w:tcBorders>
                  <w:vAlign w:val="center"/>
                </w:tcPr>
                <w:p w14:paraId="206E718B">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工位设施设备</w:t>
                  </w:r>
                </w:p>
              </w:tc>
              <w:tc>
                <w:tcPr>
                  <w:tcW w:w="2677" w:type="dxa"/>
                  <w:tcBorders>
                    <w:top w:val="single" w:color="auto" w:sz="4" w:space="0"/>
                    <w:left w:val="single" w:color="auto" w:sz="4" w:space="0"/>
                    <w:bottom w:val="single" w:color="auto" w:sz="4" w:space="0"/>
                    <w:right w:val="single" w:color="auto" w:sz="4" w:space="0"/>
                  </w:tcBorders>
                  <w:vAlign w:val="center"/>
                </w:tcPr>
                <w:p w14:paraId="4806A814">
                  <w:pPr>
                    <w:spacing w:before="62" w:after="62" w:line="240" w:lineRule="auto"/>
                    <w:ind w:firstLine="0" w:firstLineChars="0"/>
                    <w:jc w:val="left"/>
                    <w:rPr>
                      <w:rFonts w:hint="eastAsia" w:ascii="仿宋" w:hAnsi="仿宋" w:eastAsia="仿宋" w:cs="仿宋"/>
                      <w:sz w:val="20"/>
                      <w:szCs w:val="20"/>
                    </w:rPr>
                  </w:pPr>
                  <w:r>
                    <w:rPr>
                      <w:rFonts w:hint="eastAsia" w:ascii="仿宋" w:hAnsi="仿宋" w:eastAsia="仿宋" w:cs="仿宋"/>
                      <w:sz w:val="20"/>
                      <w:szCs w:val="20"/>
                    </w:rPr>
                    <w:t>PC机（性能相当于2.0GHZ处理器，16G以上内存，显示器分辨率要求1024*768以上；）</w:t>
                  </w:r>
                </w:p>
              </w:tc>
              <w:tc>
                <w:tcPr>
                  <w:tcW w:w="882" w:type="dxa"/>
                  <w:tcBorders>
                    <w:top w:val="single" w:color="auto" w:sz="4" w:space="0"/>
                    <w:left w:val="single" w:color="auto" w:sz="4" w:space="0"/>
                    <w:bottom w:val="single" w:color="auto" w:sz="4" w:space="0"/>
                    <w:right w:val="single" w:color="auto" w:sz="4" w:space="0"/>
                  </w:tcBorders>
                  <w:vAlign w:val="center"/>
                </w:tcPr>
                <w:p w14:paraId="426AE527">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1套</w:t>
                  </w:r>
                </w:p>
              </w:tc>
              <w:tc>
                <w:tcPr>
                  <w:tcW w:w="1547" w:type="dxa"/>
                  <w:tcBorders>
                    <w:top w:val="single" w:color="auto" w:sz="4" w:space="0"/>
                    <w:left w:val="single" w:color="auto" w:sz="4" w:space="0"/>
                    <w:bottom w:val="single" w:color="auto" w:sz="4" w:space="0"/>
                    <w:right w:val="single" w:color="auto" w:sz="4" w:space="0"/>
                  </w:tcBorders>
                  <w:vAlign w:val="center"/>
                </w:tcPr>
                <w:p w14:paraId="19E5D380">
                  <w:pPr>
                    <w:spacing w:before="62" w:after="62" w:line="240" w:lineRule="auto"/>
                    <w:ind w:firstLine="0" w:firstLineChars="0"/>
                    <w:rPr>
                      <w:rFonts w:hint="eastAsia" w:ascii="仿宋" w:hAnsi="仿宋" w:eastAsia="仿宋" w:cs="仿宋"/>
                      <w:sz w:val="20"/>
                      <w:szCs w:val="20"/>
                    </w:rPr>
                  </w:pPr>
                  <w:r>
                    <w:rPr>
                      <w:rFonts w:hint="eastAsia" w:ascii="仿宋" w:hAnsi="仿宋" w:eastAsia="仿宋" w:cs="仿宋"/>
                      <w:sz w:val="20"/>
                      <w:szCs w:val="20"/>
                    </w:rPr>
                    <w:t>操作区选手工位</w:t>
                  </w:r>
                </w:p>
              </w:tc>
            </w:tr>
          </w:tbl>
          <w:p w14:paraId="217AA414">
            <w:pPr>
              <w:spacing w:before="62" w:after="62" w:line="360" w:lineRule="auto"/>
              <w:ind w:firstLine="480"/>
              <w:rPr>
                <w:rFonts w:hint="eastAsia" w:ascii="仿宋" w:hAnsi="仿宋" w:eastAsia="仿宋" w:cs="仿宋"/>
                <w:sz w:val="24"/>
                <w:szCs w:val="24"/>
              </w:rPr>
            </w:pPr>
            <w:r>
              <w:rPr>
                <w:rFonts w:hint="eastAsia" w:ascii="仿宋" w:hAnsi="仿宋" w:eastAsia="仿宋" w:cs="仿宋"/>
                <w:sz w:val="24"/>
                <w:szCs w:val="24"/>
              </w:rPr>
              <w:drawing>
                <wp:anchor distT="0" distB="0" distL="114300" distR="114300" simplePos="0" relativeHeight="251659264" behindDoc="0" locked="0" layoutInCell="1" allowOverlap="1">
                  <wp:simplePos x="0" y="0"/>
                  <wp:positionH relativeFrom="column">
                    <wp:posOffset>1082040</wp:posOffset>
                  </wp:positionH>
                  <wp:positionV relativeFrom="paragraph">
                    <wp:posOffset>475615</wp:posOffset>
                  </wp:positionV>
                  <wp:extent cx="2846070" cy="1724025"/>
                  <wp:effectExtent l="0" t="0" r="0" b="9525"/>
                  <wp:wrapTopAndBottom/>
                  <wp:docPr id="3" name="图片 3" descr="\\192.168.134.10\Users\jerry\Library\Group%252520Containers\UBF8T346G9.ms\WebArchiveCopyPasteTempFiles\com.microsoft.Word\page17image198558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92.168.134.10\Users\jerry\Library\Group%252520Containers\UBF8T346G9.ms\WebArchiveCopyPasteTempFiles\com.microsoft.Word\page17image198558736"/>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846070" cy="1724025"/>
                          </a:xfrm>
                          <a:prstGeom prst="rect">
                            <a:avLst/>
                          </a:prstGeom>
                          <a:noFill/>
                          <a:ln>
                            <a:noFill/>
                          </a:ln>
                        </pic:spPr>
                      </pic:pic>
                    </a:graphicData>
                  </a:graphic>
                </wp:anchor>
              </w:drawing>
            </w:r>
            <w:r>
              <w:rPr>
                <w:rFonts w:hint="eastAsia" w:ascii="仿宋" w:hAnsi="仿宋" w:eastAsia="仿宋" w:cs="仿宋"/>
                <w:sz w:val="24"/>
                <w:szCs w:val="24"/>
              </w:rPr>
              <w:t>竞赛设备截图：</w:t>
            </w:r>
          </w:p>
          <w:p w14:paraId="78F560AA">
            <w:pPr>
              <w:adjustRightInd w:val="0"/>
              <w:snapToGrid w:val="0"/>
              <w:spacing w:before="62" w:after="62" w:line="360" w:lineRule="auto"/>
              <w:ind w:firstLine="480"/>
              <w:jc w:val="center"/>
              <w:rPr>
                <w:rFonts w:hint="eastAsia" w:ascii="仿宋" w:hAnsi="仿宋" w:eastAsia="仿宋" w:cs="仿宋"/>
                <w:sz w:val="24"/>
                <w:szCs w:val="24"/>
              </w:rPr>
            </w:pPr>
            <w:r>
              <w:rPr>
                <w:rFonts w:hint="eastAsia" w:ascii="仿宋" w:hAnsi="仿宋" w:eastAsia="仿宋" w:cs="仿宋"/>
                <w:sz w:val="24"/>
                <w:szCs w:val="24"/>
              </w:rPr>
              <w:t>人工智能前端设备应用实训平台</w:t>
            </w:r>
          </w:p>
          <w:p w14:paraId="788A4BF2">
            <w:pPr>
              <w:adjustRightInd w:val="0"/>
              <w:snapToGrid w:val="0"/>
              <w:spacing w:before="62" w:after="62" w:line="360" w:lineRule="auto"/>
              <w:ind w:firstLine="480"/>
              <w:jc w:val="center"/>
              <w:rPr>
                <w:rFonts w:hint="eastAsia" w:ascii="仿宋" w:hAnsi="仿宋" w:eastAsia="仿宋" w:cs="仿宋"/>
                <w:sz w:val="24"/>
                <w:szCs w:val="24"/>
              </w:rPr>
            </w:pPr>
            <w:r>
              <w:rPr>
                <w:rFonts w:hint="eastAsia" w:ascii="仿宋" w:hAnsi="仿宋" w:eastAsia="仿宋" w:cs="仿宋"/>
                <w:sz w:val="24"/>
                <w:szCs w:val="24"/>
              </w:rPr>
              <w:drawing>
                <wp:anchor distT="0" distB="0" distL="114300" distR="114300" simplePos="0" relativeHeight="251661312" behindDoc="0" locked="0" layoutInCell="1" allowOverlap="1">
                  <wp:simplePos x="0" y="0"/>
                  <wp:positionH relativeFrom="column">
                    <wp:posOffset>930910</wp:posOffset>
                  </wp:positionH>
                  <wp:positionV relativeFrom="paragraph">
                    <wp:posOffset>453390</wp:posOffset>
                  </wp:positionV>
                  <wp:extent cx="3411855" cy="175704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11855" cy="1757045"/>
                          </a:xfrm>
                          <a:prstGeom prst="rect">
                            <a:avLst/>
                          </a:prstGeom>
                          <a:noFill/>
                          <a:ln>
                            <a:noFill/>
                          </a:ln>
                        </pic:spPr>
                      </pic:pic>
                    </a:graphicData>
                  </a:graphic>
                </wp:anchor>
              </w:drawing>
            </w:r>
          </w:p>
          <w:p w14:paraId="6C907C38">
            <w:pPr>
              <w:adjustRightInd w:val="0"/>
              <w:snapToGrid w:val="0"/>
              <w:spacing w:before="62" w:after="62" w:line="360" w:lineRule="auto"/>
              <w:ind w:firstLine="480"/>
              <w:jc w:val="center"/>
              <w:rPr>
                <w:rFonts w:hint="eastAsia" w:ascii="仿宋" w:hAnsi="仿宋" w:eastAsia="仿宋" w:cs="仿宋"/>
                <w:sz w:val="24"/>
                <w:szCs w:val="24"/>
              </w:rPr>
            </w:pPr>
            <w:r>
              <w:rPr>
                <w:rFonts w:hint="eastAsia" w:ascii="仿宋" w:hAnsi="仿宋" w:eastAsia="仿宋" w:cs="仿宋"/>
                <w:sz w:val="24"/>
                <w:szCs w:val="24"/>
              </w:rPr>
              <w:t>人工智能教学实验平台</w:t>
            </w:r>
          </w:p>
          <w:p w14:paraId="7DFA738A">
            <w:pPr>
              <w:spacing w:before="62" w:beforeLines="0" w:after="62" w:afterLines="0" w:line="360" w:lineRule="auto"/>
              <w:ind w:firstLine="480"/>
              <w:rPr>
                <w:rFonts w:hint="eastAsia" w:ascii="仿宋" w:hAnsi="仿宋" w:eastAsia="仿宋" w:cs="仿宋"/>
                <w:sz w:val="24"/>
                <w:szCs w:val="24"/>
              </w:rPr>
            </w:pPr>
            <w:r>
              <w:rPr>
                <w:rFonts w:hint="eastAsia" w:ascii="仿宋" w:hAnsi="仿宋" w:eastAsia="仿宋" w:cs="仿宋"/>
                <w:sz w:val="24"/>
                <w:szCs w:val="24"/>
              </w:rPr>
              <w:t>2.软件环境</w:t>
            </w:r>
          </w:p>
          <w:p w14:paraId="0C2F7770">
            <w:pPr>
              <w:spacing w:before="62" w:beforeLines="0" w:after="62" w:afterLines="0" w:line="360" w:lineRule="auto"/>
              <w:ind w:firstLine="480"/>
              <w:rPr>
                <w:rFonts w:hint="eastAsia" w:ascii="仿宋" w:hAnsi="仿宋" w:eastAsia="仿宋" w:cs="仿宋"/>
                <w:sz w:val="24"/>
                <w:szCs w:val="24"/>
              </w:rPr>
            </w:pPr>
            <w:r>
              <w:rPr>
                <w:rFonts w:hint="eastAsia" w:ascii="仿宋" w:hAnsi="仿宋" w:eastAsia="仿宋" w:cs="仿宋"/>
                <w:sz w:val="24"/>
                <w:szCs w:val="24"/>
              </w:rPr>
              <w:t>赛项软件清单如下表：</w:t>
            </w:r>
          </w:p>
          <w:tbl>
            <w:tblPr>
              <w:tblStyle w:val="4"/>
              <w:tblW w:w="4581" w:type="pct"/>
              <w:jc w:val="center"/>
              <w:tblLayout w:type="autofit"/>
              <w:tblCellMar>
                <w:top w:w="0" w:type="dxa"/>
                <w:left w:w="108" w:type="dxa"/>
                <w:bottom w:w="0" w:type="dxa"/>
                <w:right w:w="108" w:type="dxa"/>
              </w:tblCellMar>
            </w:tblPr>
            <w:tblGrid>
              <w:gridCol w:w="819"/>
              <w:gridCol w:w="943"/>
              <w:gridCol w:w="4584"/>
              <w:gridCol w:w="1078"/>
            </w:tblGrid>
            <w:tr w14:paraId="07BAE660">
              <w:tblPrEx>
                <w:tblCellMar>
                  <w:top w:w="0" w:type="dxa"/>
                  <w:left w:w="108" w:type="dxa"/>
                  <w:bottom w:w="0" w:type="dxa"/>
                  <w:right w:w="108" w:type="dxa"/>
                </w:tblCellMar>
              </w:tblPrEx>
              <w:trPr>
                <w:trHeight w:val="342"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14:paraId="1405B25F">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序号</w:t>
                  </w:r>
                </w:p>
              </w:tc>
              <w:tc>
                <w:tcPr>
                  <w:tcW w:w="635" w:type="pct"/>
                  <w:tcBorders>
                    <w:top w:val="single" w:color="auto" w:sz="4" w:space="0"/>
                    <w:left w:val="nil"/>
                    <w:bottom w:val="single" w:color="auto" w:sz="4" w:space="0"/>
                    <w:right w:val="single" w:color="auto" w:sz="4" w:space="0"/>
                  </w:tcBorders>
                  <w:vAlign w:val="center"/>
                </w:tcPr>
                <w:p w14:paraId="3998A035">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类别</w:t>
                  </w:r>
                </w:p>
              </w:tc>
              <w:tc>
                <w:tcPr>
                  <w:tcW w:w="3087" w:type="pct"/>
                  <w:tcBorders>
                    <w:top w:val="single" w:color="auto" w:sz="4" w:space="0"/>
                    <w:left w:val="nil"/>
                    <w:bottom w:val="single" w:color="auto" w:sz="4" w:space="0"/>
                    <w:right w:val="single" w:color="auto" w:sz="4" w:space="0"/>
                  </w:tcBorders>
                  <w:vAlign w:val="center"/>
                </w:tcPr>
                <w:p w14:paraId="2F46E5D9">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设备</w:t>
                  </w:r>
                </w:p>
              </w:tc>
              <w:tc>
                <w:tcPr>
                  <w:tcW w:w="726" w:type="pct"/>
                  <w:tcBorders>
                    <w:top w:val="single" w:color="auto" w:sz="4" w:space="0"/>
                    <w:left w:val="nil"/>
                    <w:bottom w:val="single" w:color="auto" w:sz="4" w:space="0"/>
                    <w:right w:val="single" w:color="auto" w:sz="4" w:space="0"/>
                  </w:tcBorders>
                  <w:vAlign w:val="center"/>
                </w:tcPr>
                <w:p w14:paraId="4DEC9271">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数量</w:t>
                  </w:r>
                </w:p>
              </w:tc>
            </w:tr>
            <w:tr w14:paraId="7B0495C1">
              <w:tblPrEx>
                <w:tblCellMar>
                  <w:top w:w="0" w:type="dxa"/>
                  <w:left w:w="108" w:type="dxa"/>
                  <w:bottom w:w="0" w:type="dxa"/>
                  <w:right w:w="108" w:type="dxa"/>
                </w:tblCellMar>
              </w:tblPrEx>
              <w:trPr>
                <w:trHeight w:val="342" w:hRule="atLeast"/>
                <w:jc w:val="center"/>
              </w:trPr>
              <w:tc>
                <w:tcPr>
                  <w:tcW w:w="552" w:type="pct"/>
                  <w:tcBorders>
                    <w:top w:val="nil"/>
                    <w:left w:val="single" w:color="auto" w:sz="4" w:space="0"/>
                    <w:bottom w:val="single" w:color="auto" w:sz="4" w:space="0"/>
                    <w:right w:val="single" w:color="auto" w:sz="4" w:space="0"/>
                  </w:tcBorders>
                </w:tcPr>
                <w:p w14:paraId="2824A4E1">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1</w:t>
                  </w:r>
                </w:p>
              </w:tc>
              <w:tc>
                <w:tcPr>
                  <w:tcW w:w="635" w:type="pct"/>
                  <w:tcBorders>
                    <w:top w:val="nil"/>
                    <w:left w:val="nil"/>
                    <w:bottom w:val="single" w:color="auto" w:sz="4" w:space="0"/>
                    <w:right w:val="single" w:color="auto" w:sz="4" w:space="0"/>
                  </w:tcBorders>
                </w:tcPr>
                <w:p w14:paraId="20D60177">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软件</w:t>
                  </w:r>
                </w:p>
              </w:tc>
              <w:tc>
                <w:tcPr>
                  <w:tcW w:w="3087" w:type="pct"/>
                  <w:tcBorders>
                    <w:top w:val="nil"/>
                    <w:left w:val="nil"/>
                    <w:bottom w:val="single" w:color="auto" w:sz="4" w:space="0"/>
                    <w:right w:val="single" w:color="auto" w:sz="4" w:space="0"/>
                  </w:tcBorders>
                  <w:vAlign w:val="center"/>
                </w:tcPr>
                <w:p w14:paraId="4D02EEC6">
                  <w:pPr>
                    <w:widowControl/>
                    <w:spacing w:before="62" w:after="62" w:line="240" w:lineRule="auto"/>
                    <w:ind w:firstLine="400"/>
                    <w:jc w:val="center"/>
                    <w:rPr>
                      <w:rFonts w:hint="eastAsia" w:ascii="仿宋" w:hAnsi="仿宋" w:eastAsia="仿宋" w:cs="仿宋"/>
                      <w:sz w:val="20"/>
                      <w:szCs w:val="24"/>
                    </w:rPr>
                  </w:pPr>
                  <w:r>
                    <w:rPr>
                      <w:rFonts w:hint="eastAsia" w:ascii="仿宋" w:hAnsi="仿宋" w:eastAsia="仿宋" w:cs="仿宋"/>
                      <w:sz w:val="20"/>
                      <w:szCs w:val="24"/>
                    </w:rPr>
                    <w:t>Microsoft windows 10（64位）</w:t>
                  </w:r>
                </w:p>
              </w:tc>
              <w:tc>
                <w:tcPr>
                  <w:tcW w:w="726" w:type="pct"/>
                  <w:tcBorders>
                    <w:top w:val="nil"/>
                    <w:left w:val="nil"/>
                    <w:bottom w:val="single" w:color="auto" w:sz="4" w:space="0"/>
                    <w:right w:val="single" w:color="auto" w:sz="4" w:space="0"/>
                  </w:tcBorders>
                  <w:vAlign w:val="center"/>
                </w:tcPr>
                <w:p w14:paraId="048EF2C8">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1</w:t>
                  </w:r>
                </w:p>
              </w:tc>
            </w:tr>
            <w:tr w14:paraId="538B560B">
              <w:tblPrEx>
                <w:tblCellMar>
                  <w:top w:w="0" w:type="dxa"/>
                  <w:left w:w="108" w:type="dxa"/>
                  <w:bottom w:w="0" w:type="dxa"/>
                  <w:right w:w="108" w:type="dxa"/>
                </w:tblCellMar>
              </w:tblPrEx>
              <w:trPr>
                <w:trHeight w:val="342" w:hRule="atLeast"/>
                <w:jc w:val="center"/>
              </w:trPr>
              <w:tc>
                <w:tcPr>
                  <w:tcW w:w="552" w:type="pct"/>
                  <w:tcBorders>
                    <w:top w:val="nil"/>
                    <w:left w:val="single" w:color="auto" w:sz="4" w:space="0"/>
                    <w:bottom w:val="single" w:color="auto" w:sz="4" w:space="0"/>
                    <w:right w:val="single" w:color="auto" w:sz="4" w:space="0"/>
                  </w:tcBorders>
                </w:tcPr>
                <w:p w14:paraId="79F208AB">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2</w:t>
                  </w:r>
                </w:p>
              </w:tc>
              <w:tc>
                <w:tcPr>
                  <w:tcW w:w="635" w:type="pct"/>
                  <w:tcBorders>
                    <w:top w:val="nil"/>
                    <w:left w:val="nil"/>
                    <w:bottom w:val="single" w:color="auto" w:sz="4" w:space="0"/>
                    <w:right w:val="single" w:color="auto" w:sz="4" w:space="0"/>
                  </w:tcBorders>
                </w:tcPr>
                <w:p w14:paraId="55437631">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软件</w:t>
                  </w:r>
                </w:p>
              </w:tc>
              <w:tc>
                <w:tcPr>
                  <w:tcW w:w="3087" w:type="pct"/>
                  <w:tcBorders>
                    <w:top w:val="nil"/>
                    <w:left w:val="nil"/>
                    <w:bottom w:val="single" w:color="auto" w:sz="4" w:space="0"/>
                    <w:right w:val="single" w:color="auto" w:sz="4" w:space="0"/>
                  </w:tcBorders>
                  <w:vAlign w:val="center"/>
                </w:tcPr>
                <w:p w14:paraId="181A0933">
                  <w:pPr>
                    <w:widowControl/>
                    <w:spacing w:before="62" w:after="62" w:line="240" w:lineRule="auto"/>
                    <w:ind w:firstLine="400"/>
                    <w:jc w:val="center"/>
                    <w:rPr>
                      <w:rFonts w:hint="eastAsia" w:ascii="仿宋" w:hAnsi="仿宋" w:eastAsia="仿宋" w:cs="仿宋"/>
                      <w:sz w:val="20"/>
                      <w:szCs w:val="24"/>
                    </w:rPr>
                  </w:pPr>
                  <w:r>
                    <w:rPr>
                      <w:rFonts w:hint="eastAsia" w:ascii="仿宋" w:hAnsi="仿宋" w:eastAsia="仿宋" w:cs="仿宋"/>
                      <w:sz w:val="20"/>
                      <w:szCs w:val="24"/>
                    </w:rPr>
                    <w:t>Xshell(PC电脑端)</w:t>
                  </w:r>
                </w:p>
              </w:tc>
              <w:tc>
                <w:tcPr>
                  <w:tcW w:w="726" w:type="pct"/>
                  <w:tcBorders>
                    <w:top w:val="nil"/>
                    <w:left w:val="nil"/>
                    <w:bottom w:val="single" w:color="auto" w:sz="4" w:space="0"/>
                    <w:right w:val="single" w:color="auto" w:sz="4" w:space="0"/>
                  </w:tcBorders>
                  <w:vAlign w:val="center"/>
                </w:tcPr>
                <w:p w14:paraId="39DFA35F">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1</w:t>
                  </w:r>
                </w:p>
              </w:tc>
            </w:tr>
            <w:tr w14:paraId="3DA2FA79">
              <w:tblPrEx>
                <w:tblCellMar>
                  <w:top w:w="0" w:type="dxa"/>
                  <w:left w:w="108" w:type="dxa"/>
                  <w:bottom w:w="0" w:type="dxa"/>
                  <w:right w:w="108" w:type="dxa"/>
                </w:tblCellMar>
              </w:tblPrEx>
              <w:trPr>
                <w:trHeight w:val="342" w:hRule="atLeast"/>
                <w:jc w:val="center"/>
              </w:trPr>
              <w:tc>
                <w:tcPr>
                  <w:tcW w:w="552" w:type="pct"/>
                  <w:tcBorders>
                    <w:top w:val="nil"/>
                    <w:left w:val="single" w:color="auto" w:sz="4" w:space="0"/>
                    <w:bottom w:val="single" w:color="auto" w:sz="4" w:space="0"/>
                    <w:right w:val="single" w:color="auto" w:sz="4" w:space="0"/>
                  </w:tcBorders>
                </w:tcPr>
                <w:p w14:paraId="2370B85E">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3</w:t>
                  </w:r>
                </w:p>
              </w:tc>
              <w:tc>
                <w:tcPr>
                  <w:tcW w:w="635" w:type="pct"/>
                  <w:tcBorders>
                    <w:top w:val="nil"/>
                    <w:left w:val="nil"/>
                    <w:bottom w:val="single" w:color="auto" w:sz="4" w:space="0"/>
                    <w:right w:val="single" w:color="auto" w:sz="4" w:space="0"/>
                  </w:tcBorders>
                </w:tcPr>
                <w:p w14:paraId="365DB5DB">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软件</w:t>
                  </w:r>
                </w:p>
              </w:tc>
              <w:tc>
                <w:tcPr>
                  <w:tcW w:w="3087" w:type="pct"/>
                  <w:tcBorders>
                    <w:top w:val="nil"/>
                    <w:left w:val="nil"/>
                    <w:bottom w:val="single" w:color="auto" w:sz="4" w:space="0"/>
                    <w:right w:val="single" w:color="auto" w:sz="4" w:space="0"/>
                  </w:tcBorders>
                  <w:vAlign w:val="center"/>
                </w:tcPr>
                <w:p w14:paraId="441665E1">
                  <w:pPr>
                    <w:widowControl/>
                    <w:spacing w:before="62" w:after="62" w:line="240" w:lineRule="auto"/>
                    <w:ind w:firstLine="400"/>
                    <w:jc w:val="center"/>
                    <w:rPr>
                      <w:rFonts w:hint="eastAsia" w:ascii="仿宋" w:hAnsi="仿宋" w:eastAsia="仿宋" w:cs="仿宋"/>
                      <w:sz w:val="20"/>
                      <w:szCs w:val="24"/>
                    </w:rPr>
                  </w:pPr>
                  <w:r>
                    <w:rPr>
                      <w:rFonts w:hint="eastAsia" w:ascii="仿宋" w:hAnsi="仿宋" w:eastAsia="仿宋" w:cs="仿宋"/>
                      <w:sz w:val="20"/>
                      <w:szCs w:val="24"/>
                    </w:rPr>
                    <w:t>Xftp(PC电脑端)</w:t>
                  </w:r>
                </w:p>
              </w:tc>
              <w:tc>
                <w:tcPr>
                  <w:tcW w:w="726" w:type="pct"/>
                  <w:tcBorders>
                    <w:top w:val="nil"/>
                    <w:left w:val="nil"/>
                    <w:bottom w:val="single" w:color="auto" w:sz="4" w:space="0"/>
                    <w:right w:val="single" w:color="auto" w:sz="4" w:space="0"/>
                  </w:tcBorders>
                  <w:vAlign w:val="center"/>
                </w:tcPr>
                <w:p w14:paraId="2A4F41FB">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1</w:t>
                  </w:r>
                </w:p>
              </w:tc>
            </w:tr>
            <w:tr w14:paraId="61E6C776">
              <w:tblPrEx>
                <w:tblCellMar>
                  <w:top w:w="0" w:type="dxa"/>
                  <w:left w:w="108" w:type="dxa"/>
                  <w:bottom w:w="0" w:type="dxa"/>
                  <w:right w:w="108" w:type="dxa"/>
                </w:tblCellMar>
              </w:tblPrEx>
              <w:trPr>
                <w:trHeight w:val="342" w:hRule="atLeast"/>
                <w:jc w:val="center"/>
              </w:trPr>
              <w:tc>
                <w:tcPr>
                  <w:tcW w:w="552" w:type="pct"/>
                  <w:tcBorders>
                    <w:top w:val="nil"/>
                    <w:left w:val="single" w:color="auto" w:sz="4" w:space="0"/>
                    <w:bottom w:val="single" w:color="auto" w:sz="4" w:space="0"/>
                    <w:right w:val="single" w:color="auto" w:sz="4" w:space="0"/>
                  </w:tcBorders>
                </w:tcPr>
                <w:p w14:paraId="306FC7F4">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4</w:t>
                  </w:r>
                </w:p>
              </w:tc>
              <w:tc>
                <w:tcPr>
                  <w:tcW w:w="635" w:type="pct"/>
                  <w:tcBorders>
                    <w:top w:val="nil"/>
                    <w:left w:val="nil"/>
                    <w:bottom w:val="single" w:color="auto" w:sz="4" w:space="0"/>
                    <w:right w:val="single" w:color="auto" w:sz="4" w:space="0"/>
                  </w:tcBorders>
                </w:tcPr>
                <w:p w14:paraId="4B56A6DE">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软件</w:t>
                  </w:r>
                </w:p>
              </w:tc>
              <w:tc>
                <w:tcPr>
                  <w:tcW w:w="3087" w:type="pct"/>
                  <w:tcBorders>
                    <w:top w:val="nil"/>
                    <w:left w:val="nil"/>
                    <w:bottom w:val="single" w:color="auto" w:sz="4" w:space="0"/>
                    <w:right w:val="single" w:color="auto" w:sz="4" w:space="0"/>
                  </w:tcBorders>
                  <w:vAlign w:val="center"/>
                </w:tcPr>
                <w:p w14:paraId="564C7A93">
                  <w:pPr>
                    <w:widowControl/>
                    <w:spacing w:before="62" w:after="62" w:line="240" w:lineRule="auto"/>
                    <w:ind w:firstLine="400"/>
                    <w:jc w:val="center"/>
                    <w:rPr>
                      <w:rFonts w:hint="eastAsia" w:ascii="仿宋" w:hAnsi="仿宋" w:eastAsia="仿宋" w:cs="仿宋"/>
                      <w:sz w:val="20"/>
                      <w:szCs w:val="24"/>
                    </w:rPr>
                  </w:pPr>
                  <w:r>
                    <w:rPr>
                      <w:rFonts w:hint="eastAsia" w:ascii="仿宋" w:hAnsi="仿宋" w:eastAsia="仿宋" w:cs="仿宋"/>
                      <w:sz w:val="20"/>
                      <w:szCs w:val="24"/>
                    </w:rPr>
                    <w:t>Python3.7(开发版)</w:t>
                  </w:r>
                </w:p>
              </w:tc>
              <w:tc>
                <w:tcPr>
                  <w:tcW w:w="726" w:type="pct"/>
                  <w:tcBorders>
                    <w:top w:val="nil"/>
                    <w:left w:val="nil"/>
                    <w:bottom w:val="single" w:color="auto" w:sz="4" w:space="0"/>
                    <w:right w:val="single" w:color="auto" w:sz="4" w:space="0"/>
                  </w:tcBorders>
                  <w:vAlign w:val="center"/>
                </w:tcPr>
                <w:p w14:paraId="4F0730C5">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1</w:t>
                  </w:r>
                </w:p>
              </w:tc>
            </w:tr>
            <w:tr w14:paraId="54F90E18">
              <w:tblPrEx>
                <w:tblCellMar>
                  <w:top w:w="0" w:type="dxa"/>
                  <w:left w:w="108" w:type="dxa"/>
                  <w:bottom w:w="0" w:type="dxa"/>
                  <w:right w:w="108" w:type="dxa"/>
                </w:tblCellMar>
              </w:tblPrEx>
              <w:trPr>
                <w:trHeight w:val="342" w:hRule="atLeast"/>
                <w:jc w:val="center"/>
              </w:trPr>
              <w:tc>
                <w:tcPr>
                  <w:tcW w:w="552" w:type="pct"/>
                  <w:tcBorders>
                    <w:top w:val="single" w:color="auto" w:sz="4" w:space="0"/>
                    <w:left w:val="single" w:color="auto" w:sz="4" w:space="0"/>
                    <w:bottom w:val="single" w:color="auto" w:sz="4" w:space="0"/>
                    <w:right w:val="single" w:color="auto" w:sz="4" w:space="0"/>
                  </w:tcBorders>
                  <w:vAlign w:val="center"/>
                </w:tcPr>
                <w:p w14:paraId="6D7EE829">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5</w:t>
                  </w:r>
                </w:p>
              </w:tc>
              <w:tc>
                <w:tcPr>
                  <w:tcW w:w="635" w:type="pct"/>
                  <w:tcBorders>
                    <w:top w:val="single" w:color="auto" w:sz="4" w:space="0"/>
                    <w:left w:val="nil"/>
                    <w:bottom w:val="single" w:color="auto" w:sz="4" w:space="0"/>
                    <w:right w:val="single" w:color="auto" w:sz="4" w:space="0"/>
                  </w:tcBorders>
                  <w:vAlign w:val="center"/>
                </w:tcPr>
                <w:p w14:paraId="389D551F">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软件</w:t>
                  </w:r>
                </w:p>
              </w:tc>
              <w:tc>
                <w:tcPr>
                  <w:tcW w:w="3087" w:type="pct"/>
                  <w:tcBorders>
                    <w:top w:val="single" w:color="auto" w:sz="4" w:space="0"/>
                    <w:left w:val="nil"/>
                    <w:bottom w:val="single" w:color="auto" w:sz="4" w:space="0"/>
                    <w:right w:val="single" w:color="auto" w:sz="4" w:space="0"/>
                  </w:tcBorders>
                  <w:vAlign w:val="center"/>
                </w:tcPr>
                <w:p w14:paraId="06D75338">
                  <w:pPr>
                    <w:widowControl/>
                    <w:spacing w:before="62" w:after="62" w:line="240" w:lineRule="auto"/>
                    <w:ind w:firstLine="400"/>
                    <w:jc w:val="center"/>
                    <w:rPr>
                      <w:rFonts w:hint="eastAsia" w:ascii="仿宋" w:hAnsi="仿宋" w:eastAsia="仿宋" w:cs="仿宋"/>
                      <w:sz w:val="20"/>
                      <w:szCs w:val="24"/>
                    </w:rPr>
                  </w:pPr>
                  <w:r>
                    <w:rPr>
                      <w:rFonts w:hint="eastAsia" w:ascii="仿宋" w:hAnsi="仿宋" w:eastAsia="仿宋" w:cs="仿宋"/>
                      <w:sz w:val="20"/>
                      <w:szCs w:val="24"/>
                    </w:rPr>
                    <w:t>数据标注软件</w:t>
                  </w:r>
                </w:p>
              </w:tc>
              <w:tc>
                <w:tcPr>
                  <w:tcW w:w="726" w:type="pct"/>
                  <w:tcBorders>
                    <w:top w:val="single" w:color="auto" w:sz="4" w:space="0"/>
                    <w:left w:val="nil"/>
                    <w:bottom w:val="single" w:color="auto" w:sz="4" w:space="0"/>
                    <w:right w:val="single" w:color="auto" w:sz="4" w:space="0"/>
                  </w:tcBorders>
                  <w:vAlign w:val="center"/>
                </w:tcPr>
                <w:p w14:paraId="0DA02D5D">
                  <w:pPr>
                    <w:widowControl/>
                    <w:spacing w:before="62" w:after="62" w:line="240" w:lineRule="auto"/>
                    <w:ind w:firstLine="0" w:firstLineChars="0"/>
                    <w:jc w:val="center"/>
                    <w:rPr>
                      <w:rFonts w:hint="eastAsia" w:ascii="仿宋" w:hAnsi="仿宋" w:eastAsia="仿宋" w:cs="仿宋"/>
                      <w:sz w:val="20"/>
                      <w:szCs w:val="24"/>
                    </w:rPr>
                  </w:pPr>
                  <w:r>
                    <w:rPr>
                      <w:rFonts w:hint="eastAsia" w:ascii="仿宋" w:hAnsi="仿宋" w:eastAsia="仿宋" w:cs="仿宋"/>
                      <w:sz w:val="20"/>
                      <w:szCs w:val="24"/>
                    </w:rPr>
                    <w:t>1</w:t>
                  </w:r>
                </w:p>
              </w:tc>
            </w:tr>
          </w:tbl>
          <w:p w14:paraId="719E893B">
            <w:pPr>
              <w:spacing w:before="62" w:after="62"/>
              <w:ind w:firstLine="480"/>
              <w:rPr>
                <w:rFonts w:ascii="仿宋_GB2312" w:hAnsi="Arial Narrow" w:cs="Arial"/>
                <w:sz w:val="24"/>
                <w:szCs w:val="24"/>
              </w:rPr>
            </w:pPr>
          </w:p>
          <w:p w14:paraId="6A038674">
            <w:pPr>
              <w:spacing w:before="62" w:after="62"/>
              <w:ind w:firstLine="480"/>
              <w:rPr>
                <w:rFonts w:ascii="仿宋_GB2312" w:hAnsi="Arial Narrow" w:cs="Arial"/>
                <w:sz w:val="24"/>
                <w:szCs w:val="24"/>
              </w:rPr>
            </w:pPr>
          </w:p>
          <w:p w14:paraId="244A113E">
            <w:pPr>
              <w:spacing w:before="62" w:after="62"/>
              <w:ind w:firstLine="480"/>
              <w:rPr>
                <w:rFonts w:ascii="仿宋_GB2312" w:hAnsi="Arial Narrow" w:cs="Arial"/>
                <w:sz w:val="24"/>
                <w:szCs w:val="24"/>
              </w:rPr>
            </w:pPr>
          </w:p>
          <w:p w14:paraId="48845017">
            <w:pPr>
              <w:spacing w:before="62" w:after="62"/>
              <w:ind w:firstLine="480"/>
              <w:rPr>
                <w:rFonts w:ascii="仿宋_GB2312" w:hAnsi="Arial Narrow" w:cs="Arial"/>
                <w:sz w:val="24"/>
                <w:szCs w:val="24"/>
              </w:rPr>
            </w:pPr>
          </w:p>
          <w:p w14:paraId="170150A9">
            <w:pPr>
              <w:spacing w:before="62" w:after="62"/>
              <w:ind w:firstLine="480"/>
              <w:rPr>
                <w:rFonts w:ascii="仿宋_GB2312" w:hAnsi="Arial Narrow" w:cs="Arial"/>
                <w:sz w:val="24"/>
                <w:szCs w:val="24"/>
              </w:rPr>
            </w:pPr>
          </w:p>
          <w:p w14:paraId="28800FC1">
            <w:pPr>
              <w:spacing w:before="62" w:after="62"/>
              <w:ind w:firstLine="480"/>
              <w:rPr>
                <w:rFonts w:ascii="仿宋_GB2312" w:hAnsi="Arial Narrow" w:cs="Arial"/>
                <w:sz w:val="24"/>
                <w:szCs w:val="24"/>
              </w:rPr>
            </w:pPr>
          </w:p>
          <w:p w14:paraId="53E926F8">
            <w:pPr>
              <w:spacing w:before="62" w:after="62"/>
              <w:ind w:firstLine="480"/>
              <w:rPr>
                <w:rFonts w:ascii="仿宋_GB2312" w:hAnsi="Arial Narrow" w:cs="Arial"/>
                <w:sz w:val="24"/>
                <w:szCs w:val="24"/>
              </w:rPr>
            </w:pPr>
          </w:p>
          <w:p w14:paraId="3288D95A">
            <w:pPr>
              <w:spacing w:before="62" w:after="62"/>
              <w:ind w:firstLine="480"/>
              <w:rPr>
                <w:rFonts w:ascii="仿宋_GB2312" w:hAnsi="Arial Narrow" w:cs="Arial"/>
                <w:sz w:val="24"/>
                <w:szCs w:val="24"/>
              </w:rPr>
            </w:pPr>
          </w:p>
        </w:tc>
      </w:tr>
    </w:tbl>
    <w:p w14:paraId="77CAC7B3">
      <w:pPr>
        <w:snapToGrid w:val="0"/>
        <w:spacing w:before="62" w:after="62" w:line="560" w:lineRule="exact"/>
        <w:ind w:firstLine="0" w:firstLineChars="0"/>
        <w:rPr>
          <w:sz w:val="30"/>
          <w:szCs w:val="30"/>
        </w:rPr>
      </w:pPr>
    </w:p>
    <w:p w14:paraId="395C1158">
      <w:pPr>
        <w:snapToGrid w:val="0"/>
        <w:spacing w:before="62" w:after="62" w:line="560" w:lineRule="exact"/>
        <w:ind w:firstLine="0" w:firstLineChars="0"/>
        <w:rPr>
          <w:sz w:val="30"/>
          <w:szCs w:val="30"/>
        </w:rPr>
      </w:pPr>
      <w:r>
        <w:rPr>
          <w:rFonts w:hint="eastAsia"/>
          <w:sz w:val="30"/>
          <w:szCs w:val="30"/>
        </w:rPr>
        <w:t>九、竞赛样卷</w:t>
      </w:r>
    </w:p>
    <w:tbl>
      <w:tblPr>
        <w:tblStyle w:val="5"/>
        <w:tblW w:w="0" w:type="auto"/>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2"/>
      </w:tblGrid>
      <w:tr w14:paraId="5239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2" w:type="dxa"/>
          </w:tcPr>
          <w:p w14:paraId="1C12256D">
            <w:pPr>
              <w:snapToGrid w:val="0"/>
              <w:spacing w:before="62" w:after="62" w:line="560" w:lineRule="exact"/>
              <w:ind w:firstLine="480"/>
              <w:rPr>
                <w:rFonts w:hint="eastAsia" w:ascii="仿宋" w:hAnsi="仿宋" w:eastAsia="仿宋" w:cs="仿宋"/>
                <w:sz w:val="28"/>
                <w:szCs w:val="30"/>
              </w:rPr>
            </w:pPr>
            <w:r>
              <w:rPr>
                <w:rFonts w:hint="eastAsia" w:ascii="仿宋" w:hAnsi="仿宋" w:eastAsia="仿宋" w:cs="仿宋"/>
                <w:sz w:val="24"/>
                <w:szCs w:val="24"/>
              </w:rPr>
              <w:t>本赛项“技能操作”部分的命题工作由赛项执委会指定的命题专家组负责，按照竞赛规程的内容要求，在方向和难度上依据教育部颁发的职业院校相关专业人才培养标准和国家职业标准，结合人工智能人才培养要求和企业人工智能相关岗位需要进行设计，命题专家在完成命题后，交由赛项执委会指定的专家进行审核。</w:t>
            </w:r>
          </w:p>
          <w:p w14:paraId="7F3292DF">
            <w:pPr>
              <w:spacing w:before="62" w:after="62"/>
              <w:ind w:firstLine="480"/>
              <w:rPr>
                <w:rFonts w:ascii="仿宋_GB2312" w:hAnsi="Arial Narrow" w:cs="Arial"/>
                <w:sz w:val="24"/>
                <w:szCs w:val="24"/>
              </w:rPr>
            </w:pPr>
            <w:r>
              <w:rPr>
                <w:rFonts w:hint="eastAsia" w:ascii="仿宋" w:hAnsi="仿宋" w:eastAsia="仿宋" w:cs="仿宋"/>
                <w:sz w:val="24"/>
                <w:szCs w:val="24"/>
              </w:rPr>
              <w:t>样卷见附件，共5个，5套样卷。</w:t>
            </w:r>
          </w:p>
        </w:tc>
      </w:tr>
    </w:tbl>
    <w:p w14:paraId="00CE56AE">
      <w:pPr>
        <w:snapToGrid w:val="0"/>
        <w:spacing w:before="62" w:after="62" w:line="560" w:lineRule="exact"/>
        <w:ind w:firstLine="0" w:firstLineChars="0"/>
        <w:rPr>
          <w:sz w:val="30"/>
          <w:szCs w:val="30"/>
        </w:rPr>
      </w:pPr>
      <w:r>
        <w:rPr>
          <w:rFonts w:hint="eastAsia"/>
          <w:sz w:val="30"/>
          <w:szCs w:val="30"/>
        </w:rPr>
        <w:t>十、赛项安全</w:t>
      </w:r>
    </w:p>
    <w:tbl>
      <w:tblPr>
        <w:tblStyle w:val="5"/>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14:paraId="57BC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14:paraId="06E008F6">
            <w:pPr>
              <w:spacing w:before="62" w:after="62"/>
              <w:ind w:firstLine="480"/>
              <w:rPr>
                <w:rFonts w:hint="eastAsia" w:ascii="仿宋" w:hAnsi="仿宋" w:eastAsia="仿宋" w:cs="仿宋"/>
                <w:sz w:val="24"/>
                <w:szCs w:val="24"/>
              </w:rPr>
            </w:pPr>
            <w:r>
              <w:rPr>
                <w:rFonts w:hint="eastAsia" w:ascii="仿宋" w:hAnsi="仿宋" w:eastAsia="仿宋" w:cs="仿宋"/>
                <w:sz w:val="24"/>
                <w:szCs w:val="24"/>
              </w:rPr>
              <w:t>赛事安全是技能竞赛一切工作顺利开展的先决条件，是赛事筹备和运行工作必须考虑的核心问题。赛项执委会采取切实有效措施保证大赛期间参赛选手、指导教师、裁判员、工作人员及观众的人身安全。</w:t>
            </w:r>
          </w:p>
          <w:p w14:paraId="5BC47E3D">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（一）比赛环境</w:t>
            </w:r>
          </w:p>
          <w:p w14:paraId="1C2BCA55">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赛项执委会须在赛前组织专人对比赛现场、住宿场所和交通保障进行考察，并对安全工作提出明确要求。赛场的布置，赛场内的器材、设备，应符合国家有关安全规定。如有必要，也可进行赛场仿真模拟测试，以发现可能出现的问题。承办院校赛前须按照赛项执委会要求排除安全隐患。</w:t>
            </w:r>
          </w:p>
          <w:p w14:paraId="56FDEAB5">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赛场周围要设立警戒线，要求所有参赛人员必须凭赛项执委会印发的有效证件进入场地，防止无关人员进入发生意外事件。比赛现场内应参照相关职业岗位的要求为选手提供必要的劳动保护。在具有危险性的操作环节，裁判员要严防选手出现错误操作。</w:t>
            </w:r>
          </w:p>
          <w:p w14:paraId="6621F4B3">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3.承办院校应提供保证应急预案实施的条件。对于比赛内容涉及高空作业、可能有坠物、大用电量、易发生火灾等情况的赛项，必须明确制度和预案，并配备急救人员与设施。</w:t>
            </w:r>
          </w:p>
          <w:p w14:paraId="3FB553CA">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4.严格控制与参赛无关的易燃易爆以及各类危险品进入比赛场地，不许随便携带书包进入赛场。</w:t>
            </w:r>
          </w:p>
          <w:p w14:paraId="2A5C4147">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5.配备先进的仪器，防止有人利用电磁波干扰比赛秩序。需对赛场进行网络安全控制，以免场内外信息交互，充分体现大赛的严肃、公平和公正性。</w:t>
            </w:r>
          </w:p>
          <w:p w14:paraId="304112EA">
            <w:pPr>
              <w:spacing w:before="62" w:after="62"/>
              <w:ind w:firstLine="480"/>
              <w:rPr>
                <w:rFonts w:hint="eastAsia" w:ascii="仿宋" w:hAnsi="仿宋" w:eastAsia="仿宋" w:cs="仿宋"/>
                <w:sz w:val="24"/>
                <w:szCs w:val="24"/>
              </w:rPr>
            </w:pPr>
            <w:r>
              <w:rPr>
                <w:rFonts w:hint="eastAsia" w:ascii="仿宋" w:hAnsi="仿宋" w:eastAsia="仿宋" w:cs="仿宋"/>
                <w:sz w:val="24"/>
                <w:szCs w:val="24"/>
              </w:rPr>
              <w:t>6.赛项执委会须会同承办院校制定开放赛场和体验区的人员疏导方案。赛场环境中存在人员密集、车流人流交错的区域，除了设置齐全的指示标志外，须增加引导人员，并开辟备用通道。</w:t>
            </w:r>
          </w:p>
          <w:p w14:paraId="4B7F77D8">
            <w:pPr>
              <w:spacing w:before="62" w:after="62"/>
              <w:ind w:firstLine="480"/>
              <w:rPr>
                <w:rFonts w:hint="eastAsia" w:ascii="仿宋" w:hAnsi="仿宋" w:eastAsia="仿宋" w:cs="仿宋"/>
                <w:sz w:val="24"/>
                <w:szCs w:val="24"/>
              </w:rPr>
            </w:pPr>
            <w:r>
              <w:rPr>
                <w:rFonts w:hint="eastAsia" w:ascii="仿宋" w:hAnsi="仿宋" w:eastAsia="仿宋" w:cs="仿宋"/>
                <w:sz w:val="24"/>
                <w:szCs w:val="24"/>
              </w:rPr>
              <w:t>7.大赛期间，承办院校须在赛场管理的关键岗位，增加力量，建立安全管理日志。</w:t>
            </w:r>
          </w:p>
          <w:p w14:paraId="74257554">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（二）生活条件</w:t>
            </w:r>
          </w:p>
          <w:p w14:paraId="5C130BE1">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1.比赛期间，原则上由赛项承办院校统一安排参赛选手和指导教师食宿，费用自理。承办院校须尊重少数民族的信仰及文化，根据国家相关的民族政策，安排好少数民族选手和教师的饮食起居。</w:t>
            </w:r>
          </w:p>
          <w:p w14:paraId="61BB9406">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2.比赛期间安排的住宿地应具有宾馆/住宿经营许可资质。以学校宿舍作为住宿地的，大赛期间的住宿、卫生、饮食安全等由执委会和提供宿舍的学校共同负责。</w:t>
            </w:r>
          </w:p>
          <w:p w14:paraId="742A897C">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3.大赛期间有组织的参观和观摩活动的交通安全由赛项组委会负责。赛项执委会和承办院校须保证比赛期间选手、指导教师和裁判员、工作人员的交通安全。</w:t>
            </w:r>
          </w:p>
          <w:p w14:paraId="1EE95C0D">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4.各赛项的安全管理，除了可以采取必要的安全隔离措施外，应严格遵守国家相关法律法规，保护个人隐私和人身自由。</w:t>
            </w:r>
          </w:p>
          <w:p w14:paraId="797D17E4">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（三）应急处理</w:t>
            </w:r>
          </w:p>
          <w:p w14:paraId="4F0A765F">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比赛期间发生意外事故时，发现者应在第一时间报告赛项执委会，同时采取措施，避免事态扩大。赛项执委会应立即启动预案予以解决并向赛项组委会报告。出现重大安全问题的赛项可以停赛，是否停赛由赛项组委会决定。事后，赛项执委会应向上级领导部门报告详细情况。</w:t>
            </w:r>
          </w:p>
          <w:p w14:paraId="5F6BEDC1">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（四）处罚措施</w:t>
            </w:r>
          </w:p>
          <w:p w14:paraId="4A8CFDBF">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1.因参赛队伍原因造成重大安全事故的，取消其获奖资格。</w:t>
            </w:r>
          </w:p>
          <w:p w14:paraId="1DEF7329">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2.参赛队伍有发生重大安全事故隐患，经赛场工作人员提示、警告无效的，可取消其继续比赛的资格。</w:t>
            </w:r>
          </w:p>
          <w:p w14:paraId="0621BF85">
            <w:pPr>
              <w:spacing w:before="62" w:after="62"/>
              <w:ind w:firstLine="480"/>
              <w:rPr>
                <w:rFonts w:ascii="仿宋_GB2312" w:hAnsi="Cambria"/>
                <w:bCs/>
                <w:color w:val="000000"/>
                <w:kern w:val="28"/>
                <w:sz w:val="28"/>
                <w:szCs w:val="28"/>
              </w:rPr>
            </w:pPr>
            <w:r>
              <w:rPr>
                <w:rFonts w:hint="eastAsia" w:ascii="仿宋" w:hAnsi="仿宋" w:eastAsia="仿宋" w:cs="仿宋"/>
                <w:sz w:val="24"/>
                <w:szCs w:val="24"/>
              </w:rPr>
              <w:t>3.赛事工作人员违规的，按照相应的制度追究责任。情节恶劣并造成重大安全事故的，由司法机关追究相应法律责任。</w:t>
            </w:r>
          </w:p>
        </w:tc>
      </w:tr>
    </w:tbl>
    <w:p w14:paraId="07C44490">
      <w:pPr>
        <w:snapToGrid w:val="0"/>
        <w:spacing w:before="62" w:after="62" w:line="560" w:lineRule="exact"/>
        <w:ind w:firstLine="0" w:firstLineChars="0"/>
        <w:rPr>
          <w:sz w:val="30"/>
          <w:szCs w:val="30"/>
        </w:rPr>
      </w:pPr>
      <w:r>
        <w:rPr>
          <w:rFonts w:hint="eastAsia"/>
          <w:sz w:val="30"/>
          <w:szCs w:val="30"/>
        </w:rPr>
        <w:t>十一、成绩评定</w:t>
      </w:r>
    </w:p>
    <w:tbl>
      <w:tblPr>
        <w:tblStyle w:val="5"/>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3"/>
      </w:tblGrid>
      <w:tr w14:paraId="33533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8331" w:type="dxa"/>
          </w:tcPr>
          <w:p w14:paraId="0F86F772">
            <w:pPr>
              <w:spacing w:before="62" w:after="62"/>
              <w:ind w:firstLine="480"/>
              <w:rPr>
                <w:rFonts w:hint="eastAsia" w:ascii="仿宋" w:hAnsi="仿宋" w:eastAsia="仿宋" w:cs="仿宋"/>
                <w:sz w:val="28"/>
                <w:szCs w:val="30"/>
              </w:rPr>
            </w:pPr>
            <w:r>
              <w:rPr>
                <w:rFonts w:hint="eastAsia" w:ascii="仿宋" w:hAnsi="仿宋" w:eastAsia="仿宋" w:cs="仿宋"/>
                <w:sz w:val="24"/>
                <w:szCs w:val="30"/>
              </w:rPr>
              <w:t>竞赛评分本着公平公正公开的原则，评分标准注重对参赛选手价值观与态度、人工智能技术应用能力、团队协作与沟通及组织与管理能力的考察。以技能考核为主，兼顾团队协作精神和职业道德素养综合评定。</w:t>
            </w:r>
          </w:p>
          <w:p w14:paraId="47CF8D8E">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（一）评分规则</w:t>
            </w:r>
          </w:p>
          <w:p w14:paraId="007662D2">
            <w:pPr>
              <w:spacing w:before="62" w:after="62"/>
              <w:ind w:firstLine="480"/>
              <w:rPr>
                <w:rFonts w:hint="eastAsia" w:ascii="仿宋" w:hAnsi="仿宋" w:eastAsia="仿宋" w:cs="Arial"/>
                <w:sz w:val="24"/>
                <w:szCs w:val="30"/>
              </w:rPr>
            </w:pPr>
            <w:r>
              <w:rPr>
                <w:rFonts w:hint="eastAsia" w:ascii="仿宋" w:hAnsi="仿宋" w:eastAsia="仿宋" w:cs="Arial"/>
                <w:sz w:val="24"/>
                <w:szCs w:val="30"/>
              </w:rPr>
              <w:t>本赛项在“技能操作”部分评分标准分为：评价分（主观）、测量分（客观）。按各模块评分表分别设置评分小组，由裁判长指定各组裁判人员，分别对各模块进行评分。各评分小组负责所有选手同一指标的现场评分，并签字确认评分结果。</w:t>
            </w:r>
          </w:p>
          <w:p w14:paraId="58B9CAC9">
            <w:pPr>
              <w:spacing w:before="62" w:after="62"/>
              <w:ind w:firstLine="480"/>
              <w:rPr>
                <w:rFonts w:hint="eastAsia" w:ascii="仿宋" w:hAnsi="仿宋" w:eastAsia="仿宋" w:cs="Arial"/>
                <w:sz w:val="24"/>
                <w:szCs w:val="30"/>
              </w:rPr>
            </w:pPr>
            <w:r>
              <w:rPr>
                <w:rFonts w:hint="eastAsia" w:ascii="仿宋" w:hAnsi="仿宋" w:eastAsia="仿宋" w:cs="Arial"/>
                <w:sz w:val="24"/>
                <w:szCs w:val="30"/>
              </w:rPr>
              <w:t>1.评价分（主观）</w:t>
            </w:r>
          </w:p>
          <w:p w14:paraId="6AA55936">
            <w:pPr>
              <w:spacing w:before="62" w:after="62"/>
              <w:ind w:firstLine="480"/>
              <w:rPr>
                <w:rFonts w:hint="eastAsia" w:ascii="仿宋" w:hAnsi="仿宋" w:eastAsia="仿宋" w:cs="Arial"/>
                <w:sz w:val="24"/>
                <w:szCs w:val="30"/>
              </w:rPr>
            </w:pPr>
            <w:r>
              <w:rPr>
                <w:rFonts w:hint="eastAsia" w:ascii="仿宋" w:hAnsi="仿宋" w:eastAsia="仿宋" w:cs="Arial"/>
                <w:sz w:val="24"/>
                <w:szCs w:val="30"/>
              </w:rPr>
              <w:t>评价分（Judgement）打分方式：3名（N）及以上裁判为一组，各自单独评分，计算出平均权重分，除以3（N）后再乘以该子项的分值计算出实际得分。裁判相互间分差必须小于等于1分，否则需要给出确切理由并在小组长或裁判长的监督下进行调分。</w:t>
            </w:r>
          </w:p>
          <w:p w14:paraId="645C49E7">
            <w:pPr>
              <w:spacing w:before="62" w:after="62"/>
              <w:ind w:firstLine="480"/>
              <w:rPr>
                <w:rFonts w:hint="eastAsia" w:ascii="仿宋" w:hAnsi="仿宋" w:eastAsia="仿宋" w:cs="Arial"/>
                <w:sz w:val="24"/>
                <w:szCs w:val="30"/>
              </w:rPr>
            </w:pPr>
            <w:r>
              <w:rPr>
                <w:rFonts w:hint="eastAsia" w:ascii="仿宋" w:hAnsi="仿宋" w:eastAsia="仿宋" w:cs="Arial"/>
                <w:sz w:val="24"/>
                <w:szCs w:val="30"/>
              </w:rPr>
              <w:t>权重表如下：</w:t>
            </w:r>
          </w:p>
          <w:tbl>
            <w:tblPr>
              <w:tblStyle w:val="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6"/>
              <w:gridCol w:w="6761"/>
            </w:tblGrid>
            <w:tr w14:paraId="092B6D3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6" w:type="pct"/>
                  <w:tcBorders>
                    <w:top w:val="single" w:color="auto" w:sz="12" w:space="0"/>
                    <w:left w:val="single" w:color="auto" w:sz="4" w:space="0"/>
                    <w:bottom w:val="single" w:color="auto" w:sz="4" w:space="0"/>
                    <w:right w:val="single" w:color="auto" w:sz="4" w:space="0"/>
                  </w:tcBorders>
                  <w:vAlign w:val="center"/>
                </w:tcPr>
                <w:p w14:paraId="438C023A">
                  <w:pPr>
                    <w:spacing w:before="62" w:after="62" w:line="240" w:lineRule="auto"/>
                    <w:ind w:firstLine="402"/>
                    <w:jc w:val="center"/>
                    <w:rPr>
                      <w:rFonts w:hint="eastAsia" w:ascii="仿宋" w:hAnsi="仿宋" w:eastAsia="仿宋"/>
                      <w:b/>
                      <w:sz w:val="20"/>
                      <w:szCs w:val="24"/>
                    </w:rPr>
                  </w:pPr>
                  <w:r>
                    <w:rPr>
                      <w:rFonts w:hint="eastAsia" w:ascii="仿宋" w:hAnsi="仿宋" w:eastAsia="仿宋"/>
                      <w:b/>
                      <w:sz w:val="20"/>
                      <w:szCs w:val="24"/>
                    </w:rPr>
                    <w:t>权重分值</w:t>
                  </w:r>
                </w:p>
              </w:tc>
              <w:tc>
                <w:tcPr>
                  <w:tcW w:w="4114" w:type="pct"/>
                  <w:tcBorders>
                    <w:top w:val="single" w:color="auto" w:sz="12" w:space="0"/>
                    <w:left w:val="single" w:color="auto" w:sz="4" w:space="0"/>
                    <w:bottom w:val="single" w:color="auto" w:sz="4" w:space="0"/>
                    <w:right w:val="single" w:color="auto" w:sz="4" w:space="0"/>
                  </w:tcBorders>
                  <w:vAlign w:val="center"/>
                </w:tcPr>
                <w:p w14:paraId="6D3E46B5">
                  <w:pPr>
                    <w:spacing w:before="62" w:after="62" w:line="240" w:lineRule="auto"/>
                    <w:ind w:firstLine="402"/>
                    <w:jc w:val="center"/>
                    <w:rPr>
                      <w:rFonts w:hint="eastAsia" w:ascii="仿宋" w:hAnsi="仿宋" w:eastAsia="仿宋"/>
                      <w:b/>
                      <w:sz w:val="20"/>
                      <w:szCs w:val="24"/>
                    </w:rPr>
                  </w:pPr>
                  <w:r>
                    <w:rPr>
                      <w:rFonts w:hint="eastAsia" w:ascii="仿宋" w:hAnsi="仿宋" w:eastAsia="仿宋"/>
                      <w:b/>
                      <w:sz w:val="20"/>
                      <w:szCs w:val="24"/>
                    </w:rPr>
                    <w:t>要求描述</w:t>
                  </w:r>
                </w:p>
              </w:tc>
            </w:tr>
            <w:tr w14:paraId="4325548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6" w:type="pct"/>
                  <w:tcBorders>
                    <w:top w:val="single" w:color="auto" w:sz="4" w:space="0"/>
                    <w:left w:val="single" w:color="auto" w:sz="4" w:space="0"/>
                    <w:bottom w:val="single" w:color="auto" w:sz="4" w:space="0"/>
                    <w:right w:val="single" w:color="auto" w:sz="4" w:space="0"/>
                  </w:tcBorders>
                  <w:vAlign w:val="center"/>
                </w:tcPr>
                <w:p w14:paraId="62099A57">
                  <w:pPr>
                    <w:spacing w:before="62" w:after="62" w:line="240" w:lineRule="auto"/>
                    <w:ind w:firstLine="400"/>
                    <w:jc w:val="center"/>
                    <w:rPr>
                      <w:rFonts w:hint="eastAsia" w:ascii="仿宋" w:hAnsi="仿宋" w:eastAsia="仿宋"/>
                      <w:sz w:val="20"/>
                      <w:szCs w:val="24"/>
                    </w:rPr>
                  </w:pPr>
                  <w:r>
                    <w:rPr>
                      <w:rFonts w:hint="eastAsia" w:ascii="仿宋" w:hAnsi="仿宋" w:eastAsia="仿宋"/>
                      <w:sz w:val="20"/>
                      <w:szCs w:val="24"/>
                    </w:rPr>
                    <w:t>0分</w:t>
                  </w:r>
                </w:p>
              </w:tc>
              <w:tc>
                <w:tcPr>
                  <w:tcW w:w="4114" w:type="pct"/>
                  <w:tcBorders>
                    <w:top w:val="single" w:color="auto" w:sz="4" w:space="0"/>
                    <w:left w:val="single" w:color="auto" w:sz="4" w:space="0"/>
                    <w:bottom w:val="single" w:color="auto" w:sz="4" w:space="0"/>
                    <w:right w:val="single" w:color="auto" w:sz="4" w:space="0"/>
                  </w:tcBorders>
                  <w:vAlign w:val="center"/>
                </w:tcPr>
                <w:p w14:paraId="2572E0C3">
                  <w:pPr>
                    <w:spacing w:before="62" w:after="62" w:line="240" w:lineRule="auto"/>
                    <w:ind w:firstLine="400"/>
                    <w:jc w:val="left"/>
                    <w:rPr>
                      <w:rFonts w:hint="eastAsia" w:ascii="仿宋" w:hAnsi="仿宋" w:eastAsia="仿宋"/>
                      <w:sz w:val="20"/>
                      <w:szCs w:val="24"/>
                    </w:rPr>
                  </w:pPr>
                  <w:r>
                    <w:rPr>
                      <w:rFonts w:hint="eastAsia" w:ascii="仿宋" w:hAnsi="仿宋" w:eastAsia="仿宋"/>
                      <w:sz w:val="20"/>
                      <w:szCs w:val="24"/>
                    </w:rPr>
                    <w:t>各方面均低于行业标准，包括“未做尝试”</w:t>
                  </w:r>
                </w:p>
              </w:tc>
            </w:tr>
            <w:tr w14:paraId="6714777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6" w:type="pct"/>
                  <w:tcBorders>
                    <w:top w:val="single" w:color="auto" w:sz="4" w:space="0"/>
                    <w:left w:val="single" w:color="auto" w:sz="4" w:space="0"/>
                    <w:bottom w:val="single" w:color="auto" w:sz="4" w:space="0"/>
                    <w:right w:val="single" w:color="auto" w:sz="4" w:space="0"/>
                  </w:tcBorders>
                  <w:vAlign w:val="center"/>
                </w:tcPr>
                <w:p w14:paraId="0A29C2E0">
                  <w:pPr>
                    <w:spacing w:before="62" w:after="62" w:line="240" w:lineRule="auto"/>
                    <w:ind w:firstLine="400"/>
                    <w:jc w:val="center"/>
                    <w:rPr>
                      <w:rFonts w:hint="eastAsia" w:ascii="仿宋" w:hAnsi="仿宋" w:eastAsia="仿宋"/>
                      <w:sz w:val="20"/>
                      <w:szCs w:val="24"/>
                    </w:rPr>
                  </w:pPr>
                  <w:r>
                    <w:rPr>
                      <w:rFonts w:hint="eastAsia" w:ascii="仿宋" w:hAnsi="仿宋" w:eastAsia="仿宋"/>
                      <w:sz w:val="20"/>
                      <w:szCs w:val="24"/>
                    </w:rPr>
                    <w:t>1分</w:t>
                  </w:r>
                </w:p>
              </w:tc>
              <w:tc>
                <w:tcPr>
                  <w:tcW w:w="4114" w:type="pct"/>
                  <w:tcBorders>
                    <w:top w:val="single" w:color="auto" w:sz="4" w:space="0"/>
                    <w:left w:val="single" w:color="auto" w:sz="4" w:space="0"/>
                    <w:bottom w:val="single" w:color="auto" w:sz="4" w:space="0"/>
                    <w:right w:val="single" w:color="auto" w:sz="4" w:space="0"/>
                  </w:tcBorders>
                  <w:vAlign w:val="center"/>
                </w:tcPr>
                <w:p w14:paraId="7F25C571">
                  <w:pPr>
                    <w:spacing w:before="62" w:after="62" w:line="240" w:lineRule="auto"/>
                    <w:ind w:firstLine="400"/>
                    <w:jc w:val="left"/>
                    <w:rPr>
                      <w:rFonts w:hint="eastAsia" w:ascii="仿宋" w:hAnsi="仿宋" w:eastAsia="仿宋"/>
                      <w:sz w:val="20"/>
                      <w:szCs w:val="24"/>
                    </w:rPr>
                  </w:pPr>
                  <w:r>
                    <w:rPr>
                      <w:rFonts w:hint="eastAsia" w:ascii="仿宋" w:hAnsi="仿宋" w:eastAsia="仿宋"/>
                      <w:sz w:val="20"/>
                      <w:szCs w:val="24"/>
                    </w:rPr>
                    <w:t>达到行业标准</w:t>
                  </w:r>
                </w:p>
              </w:tc>
            </w:tr>
            <w:tr w14:paraId="7A05B0E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6" w:type="pct"/>
                  <w:tcBorders>
                    <w:top w:val="single" w:color="auto" w:sz="4" w:space="0"/>
                    <w:left w:val="single" w:color="auto" w:sz="4" w:space="0"/>
                    <w:bottom w:val="single" w:color="auto" w:sz="4" w:space="0"/>
                    <w:right w:val="single" w:color="auto" w:sz="4" w:space="0"/>
                  </w:tcBorders>
                  <w:vAlign w:val="center"/>
                </w:tcPr>
                <w:p w14:paraId="1738BE92">
                  <w:pPr>
                    <w:spacing w:before="62" w:after="62" w:line="240" w:lineRule="auto"/>
                    <w:ind w:firstLine="400"/>
                    <w:jc w:val="center"/>
                    <w:rPr>
                      <w:rFonts w:hint="eastAsia" w:ascii="仿宋" w:hAnsi="仿宋" w:eastAsia="仿宋"/>
                      <w:sz w:val="20"/>
                      <w:szCs w:val="24"/>
                    </w:rPr>
                  </w:pPr>
                  <w:r>
                    <w:rPr>
                      <w:rFonts w:hint="eastAsia" w:ascii="仿宋" w:hAnsi="仿宋" w:eastAsia="仿宋"/>
                      <w:sz w:val="20"/>
                      <w:szCs w:val="24"/>
                    </w:rPr>
                    <w:t>2分</w:t>
                  </w:r>
                </w:p>
              </w:tc>
              <w:tc>
                <w:tcPr>
                  <w:tcW w:w="4114" w:type="pct"/>
                  <w:tcBorders>
                    <w:top w:val="single" w:color="auto" w:sz="4" w:space="0"/>
                    <w:left w:val="single" w:color="auto" w:sz="4" w:space="0"/>
                    <w:bottom w:val="single" w:color="auto" w:sz="4" w:space="0"/>
                    <w:right w:val="single" w:color="auto" w:sz="4" w:space="0"/>
                  </w:tcBorders>
                  <w:vAlign w:val="center"/>
                </w:tcPr>
                <w:p w14:paraId="76F39771">
                  <w:pPr>
                    <w:spacing w:before="62" w:after="62" w:line="240" w:lineRule="auto"/>
                    <w:ind w:firstLine="400"/>
                    <w:jc w:val="left"/>
                    <w:rPr>
                      <w:rFonts w:hint="eastAsia" w:ascii="仿宋" w:hAnsi="仿宋" w:eastAsia="仿宋"/>
                      <w:sz w:val="20"/>
                      <w:szCs w:val="24"/>
                    </w:rPr>
                  </w:pPr>
                  <w:r>
                    <w:rPr>
                      <w:rFonts w:hint="eastAsia" w:ascii="仿宋" w:hAnsi="仿宋" w:eastAsia="仿宋"/>
                      <w:sz w:val="20"/>
                      <w:szCs w:val="24"/>
                    </w:rPr>
                    <w:t>达到行业标准，且某些方面超过标准</w:t>
                  </w:r>
                </w:p>
              </w:tc>
            </w:tr>
            <w:tr w14:paraId="11675C1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6" w:type="pct"/>
                  <w:tcBorders>
                    <w:top w:val="single" w:color="auto" w:sz="4" w:space="0"/>
                    <w:left w:val="single" w:color="auto" w:sz="4" w:space="0"/>
                    <w:bottom w:val="single" w:color="auto" w:sz="12" w:space="0"/>
                    <w:right w:val="single" w:color="auto" w:sz="4" w:space="0"/>
                  </w:tcBorders>
                  <w:vAlign w:val="center"/>
                </w:tcPr>
                <w:p w14:paraId="47615D12">
                  <w:pPr>
                    <w:spacing w:before="62" w:after="62" w:line="240" w:lineRule="auto"/>
                    <w:ind w:firstLine="400"/>
                    <w:jc w:val="center"/>
                    <w:rPr>
                      <w:rFonts w:hint="eastAsia" w:ascii="仿宋" w:hAnsi="仿宋" w:eastAsia="仿宋"/>
                      <w:sz w:val="20"/>
                      <w:szCs w:val="24"/>
                    </w:rPr>
                  </w:pPr>
                  <w:r>
                    <w:rPr>
                      <w:rFonts w:hint="eastAsia" w:ascii="仿宋" w:hAnsi="仿宋" w:eastAsia="仿宋"/>
                      <w:sz w:val="20"/>
                      <w:szCs w:val="24"/>
                    </w:rPr>
                    <w:t>3分</w:t>
                  </w:r>
                </w:p>
              </w:tc>
              <w:tc>
                <w:tcPr>
                  <w:tcW w:w="4114" w:type="pct"/>
                  <w:tcBorders>
                    <w:top w:val="single" w:color="auto" w:sz="4" w:space="0"/>
                    <w:left w:val="single" w:color="auto" w:sz="4" w:space="0"/>
                    <w:bottom w:val="single" w:color="auto" w:sz="12" w:space="0"/>
                    <w:right w:val="single" w:color="auto" w:sz="4" w:space="0"/>
                  </w:tcBorders>
                  <w:vAlign w:val="center"/>
                </w:tcPr>
                <w:p w14:paraId="7D3C67CF">
                  <w:pPr>
                    <w:spacing w:before="62" w:after="62" w:line="240" w:lineRule="auto"/>
                    <w:ind w:firstLine="400"/>
                    <w:jc w:val="left"/>
                    <w:rPr>
                      <w:rFonts w:hint="eastAsia" w:ascii="仿宋" w:hAnsi="仿宋" w:eastAsia="仿宋"/>
                      <w:sz w:val="20"/>
                      <w:szCs w:val="24"/>
                    </w:rPr>
                  </w:pPr>
                  <w:r>
                    <w:rPr>
                      <w:rFonts w:hint="eastAsia" w:ascii="仿宋" w:hAnsi="仿宋" w:eastAsia="仿宋"/>
                      <w:sz w:val="20"/>
                      <w:szCs w:val="24"/>
                    </w:rPr>
                    <w:t>达到行业期待的优秀水平</w:t>
                  </w:r>
                </w:p>
              </w:tc>
            </w:tr>
          </w:tbl>
          <w:p w14:paraId="4544F423">
            <w:pPr>
              <w:spacing w:before="62" w:after="62"/>
              <w:ind w:firstLine="480"/>
              <w:rPr>
                <w:rFonts w:hint="eastAsia" w:ascii="仿宋" w:hAnsi="仿宋" w:eastAsia="仿宋" w:cs="Arial"/>
                <w:sz w:val="24"/>
                <w:szCs w:val="30"/>
              </w:rPr>
            </w:pPr>
            <w:r>
              <w:rPr>
                <w:rFonts w:hint="eastAsia" w:ascii="仿宋" w:hAnsi="仿宋" w:eastAsia="仿宋" w:cs="Arial"/>
                <w:sz w:val="24"/>
                <w:szCs w:val="30"/>
              </w:rPr>
              <w:t>（样例：X区连线整齐评价标准参考）</w:t>
            </w:r>
          </w:p>
          <w:tbl>
            <w:tblPr>
              <w:tblStyle w:val="4"/>
              <w:tblW w:w="8520"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7010"/>
            </w:tblGrid>
            <w:tr w14:paraId="581C86C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12" w:space="0"/>
                    <w:left w:val="single" w:color="auto" w:sz="4" w:space="0"/>
                    <w:bottom w:val="single" w:color="auto" w:sz="4" w:space="0"/>
                    <w:right w:val="single" w:color="auto" w:sz="4" w:space="0"/>
                  </w:tcBorders>
                  <w:vAlign w:val="center"/>
                </w:tcPr>
                <w:p w14:paraId="0156C061">
                  <w:pPr>
                    <w:spacing w:before="62" w:after="62" w:line="240" w:lineRule="auto"/>
                    <w:ind w:firstLine="402"/>
                    <w:jc w:val="center"/>
                    <w:rPr>
                      <w:rFonts w:hint="eastAsia" w:ascii="仿宋" w:hAnsi="仿宋" w:eastAsia="仿宋"/>
                      <w:b/>
                      <w:sz w:val="20"/>
                      <w:szCs w:val="24"/>
                    </w:rPr>
                  </w:pPr>
                  <w:r>
                    <w:rPr>
                      <w:rFonts w:hint="eastAsia" w:ascii="仿宋" w:hAnsi="仿宋" w:eastAsia="仿宋"/>
                      <w:b/>
                      <w:sz w:val="20"/>
                      <w:szCs w:val="24"/>
                    </w:rPr>
                    <w:t>权重分值</w:t>
                  </w:r>
                </w:p>
              </w:tc>
              <w:tc>
                <w:tcPr>
                  <w:tcW w:w="7012" w:type="dxa"/>
                  <w:tcBorders>
                    <w:top w:val="single" w:color="auto" w:sz="12" w:space="0"/>
                    <w:left w:val="single" w:color="auto" w:sz="4" w:space="0"/>
                    <w:bottom w:val="single" w:color="auto" w:sz="4" w:space="0"/>
                    <w:right w:val="single" w:color="auto" w:sz="4" w:space="0"/>
                  </w:tcBorders>
                  <w:vAlign w:val="center"/>
                </w:tcPr>
                <w:p w14:paraId="781EFEA9">
                  <w:pPr>
                    <w:spacing w:before="62" w:after="62" w:line="240" w:lineRule="auto"/>
                    <w:ind w:firstLine="402"/>
                    <w:jc w:val="center"/>
                    <w:rPr>
                      <w:rFonts w:hint="eastAsia" w:ascii="仿宋" w:hAnsi="仿宋" w:eastAsia="仿宋"/>
                      <w:b/>
                      <w:sz w:val="20"/>
                      <w:szCs w:val="24"/>
                    </w:rPr>
                  </w:pPr>
                  <w:r>
                    <w:rPr>
                      <w:rFonts w:hint="eastAsia" w:ascii="仿宋" w:hAnsi="仿宋" w:eastAsia="仿宋"/>
                      <w:b/>
                      <w:sz w:val="20"/>
                      <w:szCs w:val="24"/>
                    </w:rPr>
                    <w:t>要求描述</w:t>
                  </w:r>
                </w:p>
              </w:tc>
            </w:tr>
            <w:tr w14:paraId="465FD3D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96BE041">
                  <w:pPr>
                    <w:spacing w:before="62" w:after="62" w:line="240" w:lineRule="auto"/>
                    <w:ind w:firstLine="400"/>
                    <w:jc w:val="center"/>
                    <w:rPr>
                      <w:rFonts w:hint="eastAsia" w:ascii="仿宋" w:hAnsi="仿宋" w:eastAsia="仿宋"/>
                      <w:sz w:val="20"/>
                      <w:szCs w:val="24"/>
                    </w:rPr>
                  </w:pPr>
                  <w:r>
                    <w:rPr>
                      <w:rFonts w:hint="eastAsia" w:ascii="仿宋" w:hAnsi="仿宋" w:eastAsia="仿宋"/>
                      <w:sz w:val="20"/>
                      <w:szCs w:val="24"/>
                    </w:rPr>
                    <w:t>0分</w:t>
                  </w:r>
                </w:p>
              </w:tc>
              <w:tc>
                <w:tcPr>
                  <w:tcW w:w="7012" w:type="dxa"/>
                  <w:tcBorders>
                    <w:top w:val="single" w:color="auto" w:sz="4" w:space="0"/>
                    <w:left w:val="single" w:color="auto" w:sz="4" w:space="0"/>
                    <w:bottom w:val="single" w:color="auto" w:sz="4" w:space="0"/>
                    <w:right w:val="single" w:color="auto" w:sz="4" w:space="0"/>
                  </w:tcBorders>
                  <w:vAlign w:val="center"/>
                </w:tcPr>
                <w:p w14:paraId="1A86F488">
                  <w:pPr>
                    <w:spacing w:before="62" w:after="62" w:line="240" w:lineRule="auto"/>
                    <w:ind w:firstLine="400"/>
                    <w:jc w:val="left"/>
                    <w:rPr>
                      <w:rFonts w:hint="eastAsia" w:ascii="仿宋" w:hAnsi="仿宋" w:eastAsia="仿宋"/>
                      <w:sz w:val="20"/>
                      <w:szCs w:val="24"/>
                    </w:rPr>
                  </w:pPr>
                  <w:r>
                    <w:rPr>
                      <w:rFonts w:hint="eastAsia" w:ascii="仿宋" w:hAnsi="仿宋" w:eastAsia="仿宋" w:cs="宋体"/>
                      <w:color w:val="000000"/>
                      <w:kern w:val="0"/>
                      <w:sz w:val="20"/>
                      <w:szCs w:val="24"/>
                    </w:rPr>
                    <w:t>不接受（接线杂乱，未完成接线数量超过1根及以上）</w:t>
                  </w:r>
                </w:p>
              </w:tc>
            </w:tr>
            <w:tr w14:paraId="1C13310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654F5937">
                  <w:pPr>
                    <w:spacing w:before="62" w:after="62" w:line="240" w:lineRule="auto"/>
                    <w:ind w:firstLine="400"/>
                    <w:jc w:val="center"/>
                    <w:rPr>
                      <w:rFonts w:hint="eastAsia" w:ascii="仿宋" w:hAnsi="仿宋" w:eastAsia="仿宋"/>
                      <w:sz w:val="20"/>
                      <w:szCs w:val="24"/>
                    </w:rPr>
                  </w:pPr>
                  <w:r>
                    <w:rPr>
                      <w:rFonts w:hint="eastAsia" w:ascii="仿宋" w:hAnsi="仿宋" w:eastAsia="仿宋"/>
                      <w:sz w:val="20"/>
                      <w:szCs w:val="24"/>
                    </w:rPr>
                    <w:t>1分</w:t>
                  </w:r>
                </w:p>
              </w:tc>
              <w:tc>
                <w:tcPr>
                  <w:tcW w:w="7012" w:type="dxa"/>
                  <w:tcBorders>
                    <w:top w:val="single" w:color="auto" w:sz="4" w:space="0"/>
                    <w:left w:val="single" w:color="auto" w:sz="4" w:space="0"/>
                    <w:bottom w:val="single" w:color="auto" w:sz="4" w:space="0"/>
                    <w:right w:val="single" w:color="auto" w:sz="4" w:space="0"/>
                  </w:tcBorders>
                  <w:vAlign w:val="center"/>
                </w:tcPr>
                <w:p w14:paraId="301E78F6">
                  <w:pPr>
                    <w:spacing w:before="62" w:after="62" w:line="240" w:lineRule="auto"/>
                    <w:ind w:firstLine="400"/>
                    <w:jc w:val="left"/>
                    <w:rPr>
                      <w:rFonts w:hint="eastAsia" w:ascii="仿宋" w:hAnsi="仿宋" w:eastAsia="仿宋"/>
                      <w:sz w:val="20"/>
                      <w:szCs w:val="24"/>
                    </w:rPr>
                  </w:pPr>
                  <w:r>
                    <w:rPr>
                      <w:rFonts w:hint="eastAsia" w:ascii="仿宋" w:hAnsi="仿宋" w:eastAsia="仿宋" w:cs="宋体"/>
                      <w:color w:val="000000"/>
                      <w:kern w:val="0"/>
                      <w:sz w:val="20"/>
                      <w:szCs w:val="24"/>
                    </w:rPr>
                    <w:t>符合行业标准（能够在线槽中规范连线）</w:t>
                  </w:r>
                </w:p>
              </w:tc>
            </w:tr>
            <w:tr w14:paraId="0BFBEDE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74C0A0C">
                  <w:pPr>
                    <w:spacing w:before="62" w:after="62" w:line="240" w:lineRule="auto"/>
                    <w:ind w:firstLine="400"/>
                    <w:jc w:val="center"/>
                    <w:rPr>
                      <w:rFonts w:hint="eastAsia" w:ascii="仿宋" w:hAnsi="仿宋" w:eastAsia="仿宋"/>
                      <w:sz w:val="20"/>
                      <w:szCs w:val="24"/>
                    </w:rPr>
                  </w:pPr>
                  <w:r>
                    <w:rPr>
                      <w:rFonts w:hint="eastAsia" w:ascii="仿宋" w:hAnsi="仿宋" w:eastAsia="仿宋"/>
                      <w:sz w:val="20"/>
                      <w:szCs w:val="24"/>
                    </w:rPr>
                    <w:t>2分</w:t>
                  </w:r>
                </w:p>
              </w:tc>
              <w:tc>
                <w:tcPr>
                  <w:tcW w:w="7012" w:type="dxa"/>
                  <w:tcBorders>
                    <w:top w:val="single" w:color="auto" w:sz="4" w:space="0"/>
                    <w:left w:val="single" w:color="auto" w:sz="4" w:space="0"/>
                    <w:bottom w:val="single" w:color="auto" w:sz="4" w:space="0"/>
                    <w:right w:val="single" w:color="auto" w:sz="4" w:space="0"/>
                  </w:tcBorders>
                  <w:vAlign w:val="center"/>
                </w:tcPr>
                <w:p w14:paraId="2B2A2C8D">
                  <w:pPr>
                    <w:spacing w:before="62" w:after="62" w:line="240" w:lineRule="auto"/>
                    <w:ind w:firstLine="400"/>
                    <w:jc w:val="left"/>
                    <w:rPr>
                      <w:rFonts w:hint="eastAsia" w:ascii="仿宋" w:hAnsi="仿宋" w:eastAsia="仿宋"/>
                      <w:sz w:val="20"/>
                      <w:szCs w:val="24"/>
                    </w:rPr>
                  </w:pPr>
                  <w:r>
                    <w:rPr>
                      <w:rFonts w:hint="eastAsia" w:ascii="仿宋" w:hAnsi="仿宋" w:eastAsia="仿宋" w:cs="宋体"/>
                      <w:color w:val="000000"/>
                      <w:kern w:val="0"/>
                      <w:sz w:val="20"/>
                      <w:szCs w:val="24"/>
                    </w:rPr>
                    <w:t>符合行业标准并略高与行业标准（设备接线合理，在线槽中规范连线。）</w:t>
                  </w:r>
                </w:p>
              </w:tc>
            </w:tr>
            <w:tr w14:paraId="3AEF562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4" w:space="0"/>
                    <w:left w:val="single" w:color="auto" w:sz="4" w:space="0"/>
                    <w:bottom w:val="single" w:color="auto" w:sz="12" w:space="0"/>
                    <w:right w:val="single" w:color="auto" w:sz="4" w:space="0"/>
                  </w:tcBorders>
                  <w:vAlign w:val="center"/>
                </w:tcPr>
                <w:p w14:paraId="5AE34243">
                  <w:pPr>
                    <w:spacing w:before="62" w:after="62" w:line="240" w:lineRule="auto"/>
                    <w:ind w:firstLine="400"/>
                    <w:jc w:val="center"/>
                    <w:rPr>
                      <w:rFonts w:hint="eastAsia" w:ascii="仿宋" w:hAnsi="仿宋" w:eastAsia="仿宋"/>
                      <w:sz w:val="20"/>
                      <w:szCs w:val="24"/>
                    </w:rPr>
                  </w:pPr>
                  <w:r>
                    <w:rPr>
                      <w:rFonts w:hint="eastAsia" w:ascii="仿宋" w:hAnsi="仿宋" w:eastAsia="仿宋"/>
                      <w:sz w:val="20"/>
                      <w:szCs w:val="24"/>
                    </w:rPr>
                    <w:t>3分</w:t>
                  </w:r>
                </w:p>
              </w:tc>
              <w:tc>
                <w:tcPr>
                  <w:tcW w:w="7012" w:type="dxa"/>
                  <w:tcBorders>
                    <w:top w:val="single" w:color="auto" w:sz="4" w:space="0"/>
                    <w:left w:val="single" w:color="auto" w:sz="4" w:space="0"/>
                    <w:bottom w:val="single" w:color="auto" w:sz="12" w:space="0"/>
                    <w:right w:val="single" w:color="auto" w:sz="4" w:space="0"/>
                  </w:tcBorders>
                  <w:vAlign w:val="center"/>
                </w:tcPr>
                <w:p w14:paraId="5B71E1C6">
                  <w:pPr>
                    <w:spacing w:before="62" w:after="62" w:line="240" w:lineRule="auto"/>
                    <w:ind w:firstLine="400"/>
                    <w:jc w:val="left"/>
                    <w:rPr>
                      <w:rFonts w:hint="eastAsia" w:ascii="仿宋" w:hAnsi="仿宋" w:eastAsia="仿宋"/>
                      <w:sz w:val="20"/>
                      <w:szCs w:val="24"/>
                    </w:rPr>
                  </w:pPr>
                  <w:r>
                    <w:rPr>
                      <w:rFonts w:hint="eastAsia" w:ascii="仿宋" w:hAnsi="仿宋" w:eastAsia="仿宋" w:cs="宋体"/>
                      <w:color w:val="000000"/>
                      <w:kern w:val="0"/>
                      <w:sz w:val="20"/>
                      <w:szCs w:val="24"/>
                    </w:rPr>
                    <w:t>完美（设备接口之间接线规范、美观，方便维护）。</w:t>
                  </w:r>
                </w:p>
              </w:tc>
            </w:tr>
          </w:tbl>
          <w:p w14:paraId="0AC9CFBF">
            <w:pPr>
              <w:spacing w:before="62" w:after="62"/>
              <w:ind w:firstLine="480"/>
              <w:rPr>
                <w:rFonts w:hint="eastAsia" w:ascii="仿宋" w:hAnsi="仿宋" w:eastAsia="仿宋" w:cs="Arial"/>
                <w:sz w:val="24"/>
                <w:szCs w:val="30"/>
              </w:rPr>
            </w:pPr>
            <w:r>
              <w:rPr>
                <w:rFonts w:hint="eastAsia" w:ascii="仿宋" w:hAnsi="仿宋" w:eastAsia="仿宋" w:cs="Arial"/>
                <w:sz w:val="24"/>
                <w:szCs w:val="30"/>
              </w:rPr>
              <w:t>2.测量分（客观）</w:t>
            </w:r>
          </w:p>
          <w:p w14:paraId="7B338C3A">
            <w:pPr>
              <w:spacing w:before="62" w:after="62"/>
              <w:ind w:firstLine="480"/>
              <w:rPr>
                <w:rFonts w:hint="eastAsia" w:ascii="仿宋" w:hAnsi="仿宋" w:eastAsia="仿宋" w:cs="Arial"/>
                <w:sz w:val="24"/>
                <w:szCs w:val="30"/>
              </w:rPr>
            </w:pPr>
            <w:bookmarkStart w:id="0" w:name="OLE_LINK10"/>
            <w:bookmarkStart w:id="1" w:name="OLE_LINK9"/>
            <w:r>
              <w:rPr>
                <w:rFonts w:hint="eastAsia" w:ascii="仿宋" w:hAnsi="仿宋" w:eastAsia="仿宋" w:cs="Arial"/>
                <w:sz w:val="24"/>
                <w:szCs w:val="30"/>
              </w:rPr>
              <w:t>测量分（Measurement）打分方式：按模块设置若干个评分组，每组由3名及以上裁判构成。每个组所有裁判一起商议，在对该选手在该项中的实际得分达成一致后最终只给出一个分值。若裁判数量较多，也可以另定分组模式。</w:t>
            </w:r>
          </w:p>
          <w:p w14:paraId="039795F8">
            <w:pPr>
              <w:spacing w:before="62" w:after="62"/>
              <w:ind w:firstLine="480"/>
              <w:rPr>
                <w:rFonts w:hint="eastAsia" w:ascii="仿宋" w:hAnsi="仿宋" w:eastAsia="仿宋" w:cs="Arial"/>
                <w:sz w:val="24"/>
                <w:szCs w:val="30"/>
              </w:rPr>
            </w:pPr>
            <w:r>
              <w:rPr>
                <w:rFonts w:hint="eastAsia" w:ascii="仿宋" w:hAnsi="仿宋" w:eastAsia="仿宋" w:cs="Arial"/>
                <w:sz w:val="24"/>
                <w:szCs w:val="30"/>
              </w:rPr>
              <w:t>测量分评分准则样例表：</w:t>
            </w:r>
          </w:p>
          <w:bookmarkEnd w:id="0"/>
          <w:bookmarkEnd w:id="1"/>
          <w:tbl>
            <w:tblPr>
              <w:tblStyle w:val="4"/>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1601"/>
              <w:gridCol w:w="2740"/>
              <w:gridCol w:w="1330"/>
              <w:gridCol w:w="1233"/>
              <w:gridCol w:w="1313"/>
            </w:tblGrid>
            <w:tr w14:paraId="639408E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75" w:type="pct"/>
                  <w:tcBorders>
                    <w:top w:val="single" w:color="000000" w:sz="12" w:space="0"/>
                    <w:left w:val="single" w:color="auto" w:sz="4" w:space="0"/>
                    <w:bottom w:val="single" w:color="000000" w:sz="4" w:space="0"/>
                    <w:right w:val="single" w:color="000000" w:sz="4" w:space="0"/>
                  </w:tcBorders>
                  <w:vAlign w:val="center"/>
                </w:tcPr>
                <w:p w14:paraId="6960F92C">
                  <w:pPr>
                    <w:spacing w:before="62" w:after="62" w:line="240" w:lineRule="auto"/>
                    <w:ind w:firstLine="402"/>
                    <w:rPr>
                      <w:rFonts w:hint="eastAsia" w:ascii="仿宋" w:hAnsi="仿宋" w:eastAsia="仿宋"/>
                      <w:b/>
                      <w:sz w:val="20"/>
                      <w:szCs w:val="24"/>
                    </w:rPr>
                  </w:pPr>
                  <w:r>
                    <w:rPr>
                      <w:rFonts w:hint="eastAsia" w:ascii="仿宋" w:hAnsi="仿宋" w:eastAsia="仿宋"/>
                      <w:b/>
                      <w:sz w:val="20"/>
                      <w:szCs w:val="24"/>
                    </w:rPr>
                    <w:t>类型</w:t>
                  </w:r>
                </w:p>
              </w:tc>
              <w:tc>
                <w:tcPr>
                  <w:tcW w:w="1667" w:type="pct"/>
                  <w:tcBorders>
                    <w:top w:val="single" w:color="000000" w:sz="12" w:space="0"/>
                    <w:left w:val="single" w:color="000000" w:sz="4" w:space="0"/>
                    <w:bottom w:val="single" w:color="000000" w:sz="4" w:space="0"/>
                    <w:right w:val="single" w:color="000000" w:sz="4" w:space="0"/>
                  </w:tcBorders>
                  <w:vAlign w:val="center"/>
                </w:tcPr>
                <w:p w14:paraId="48440206">
                  <w:pPr>
                    <w:spacing w:before="62" w:after="62" w:line="240" w:lineRule="auto"/>
                    <w:ind w:firstLine="402"/>
                    <w:jc w:val="center"/>
                    <w:rPr>
                      <w:rFonts w:hint="eastAsia" w:ascii="仿宋" w:hAnsi="仿宋" w:eastAsia="仿宋"/>
                      <w:b/>
                      <w:sz w:val="20"/>
                      <w:szCs w:val="24"/>
                    </w:rPr>
                  </w:pPr>
                  <w:r>
                    <w:rPr>
                      <w:rFonts w:hint="eastAsia" w:ascii="仿宋" w:hAnsi="仿宋" w:eastAsia="仿宋"/>
                      <w:b/>
                      <w:sz w:val="20"/>
                      <w:szCs w:val="24"/>
                    </w:rPr>
                    <w:t>示例</w:t>
                  </w:r>
                </w:p>
              </w:tc>
              <w:tc>
                <w:tcPr>
                  <w:tcW w:w="809" w:type="pct"/>
                  <w:tcBorders>
                    <w:top w:val="single" w:color="000000" w:sz="12" w:space="0"/>
                    <w:left w:val="single" w:color="000000" w:sz="4" w:space="0"/>
                    <w:bottom w:val="single" w:color="000000" w:sz="4" w:space="0"/>
                    <w:right w:val="single" w:color="000000" w:sz="4" w:space="0"/>
                  </w:tcBorders>
                  <w:vAlign w:val="center"/>
                </w:tcPr>
                <w:p w14:paraId="740E6F60">
                  <w:pPr>
                    <w:spacing w:before="62" w:after="62" w:line="240" w:lineRule="auto"/>
                    <w:ind w:firstLine="0" w:firstLineChars="0"/>
                    <w:rPr>
                      <w:rFonts w:hint="eastAsia" w:ascii="仿宋" w:hAnsi="仿宋" w:eastAsia="仿宋"/>
                      <w:b/>
                      <w:sz w:val="20"/>
                      <w:szCs w:val="24"/>
                    </w:rPr>
                  </w:pPr>
                  <w:r>
                    <w:rPr>
                      <w:rFonts w:hint="eastAsia" w:ascii="仿宋" w:hAnsi="仿宋" w:eastAsia="仿宋"/>
                      <w:b/>
                      <w:sz w:val="20"/>
                      <w:szCs w:val="24"/>
                    </w:rPr>
                    <w:t>最高分值</w:t>
                  </w:r>
                </w:p>
              </w:tc>
              <w:tc>
                <w:tcPr>
                  <w:tcW w:w="750" w:type="pct"/>
                  <w:tcBorders>
                    <w:top w:val="single" w:color="000000" w:sz="12" w:space="0"/>
                    <w:left w:val="single" w:color="000000" w:sz="4" w:space="0"/>
                    <w:bottom w:val="single" w:color="000000" w:sz="4" w:space="0"/>
                    <w:right w:val="single" w:color="000000" w:sz="4" w:space="0"/>
                  </w:tcBorders>
                  <w:vAlign w:val="center"/>
                </w:tcPr>
                <w:p w14:paraId="68D3B5DA">
                  <w:pPr>
                    <w:spacing w:before="62" w:after="62" w:line="240" w:lineRule="auto"/>
                    <w:ind w:firstLine="0" w:firstLineChars="0"/>
                    <w:rPr>
                      <w:rFonts w:hint="eastAsia" w:ascii="仿宋" w:hAnsi="仿宋" w:eastAsia="仿宋"/>
                      <w:b/>
                      <w:sz w:val="20"/>
                      <w:szCs w:val="24"/>
                    </w:rPr>
                  </w:pPr>
                  <w:r>
                    <w:rPr>
                      <w:rFonts w:hint="eastAsia" w:ascii="仿宋" w:hAnsi="仿宋" w:eastAsia="仿宋"/>
                      <w:b/>
                      <w:sz w:val="20"/>
                      <w:szCs w:val="24"/>
                    </w:rPr>
                    <w:t>正确分值</w:t>
                  </w:r>
                </w:p>
              </w:tc>
              <w:tc>
                <w:tcPr>
                  <w:tcW w:w="799" w:type="pct"/>
                  <w:tcBorders>
                    <w:top w:val="single" w:color="000000" w:sz="12" w:space="0"/>
                    <w:left w:val="single" w:color="000000" w:sz="4" w:space="0"/>
                    <w:bottom w:val="single" w:color="000000" w:sz="4" w:space="0"/>
                    <w:right w:val="single" w:color="auto" w:sz="4" w:space="0"/>
                  </w:tcBorders>
                  <w:vAlign w:val="center"/>
                </w:tcPr>
                <w:p w14:paraId="1CF44F54">
                  <w:pPr>
                    <w:spacing w:before="62" w:after="62" w:line="240" w:lineRule="auto"/>
                    <w:ind w:firstLine="0" w:firstLineChars="0"/>
                    <w:rPr>
                      <w:rFonts w:hint="eastAsia" w:ascii="仿宋" w:hAnsi="仿宋" w:eastAsia="仿宋"/>
                      <w:b/>
                      <w:sz w:val="20"/>
                      <w:szCs w:val="24"/>
                    </w:rPr>
                  </w:pPr>
                  <w:r>
                    <w:rPr>
                      <w:rFonts w:hint="eastAsia" w:ascii="仿宋" w:hAnsi="仿宋" w:eastAsia="仿宋"/>
                      <w:b/>
                      <w:sz w:val="20"/>
                      <w:szCs w:val="24"/>
                    </w:rPr>
                    <w:t>不正确分值</w:t>
                  </w:r>
                </w:p>
              </w:tc>
            </w:tr>
            <w:tr w14:paraId="5AF4DF8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75" w:type="pct"/>
                  <w:tcBorders>
                    <w:top w:val="single" w:color="000000" w:sz="4" w:space="0"/>
                    <w:left w:val="single" w:color="auto" w:sz="4" w:space="0"/>
                    <w:bottom w:val="single" w:color="000000" w:sz="4" w:space="0"/>
                    <w:right w:val="single" w:color="000000" w:sz="4" w:space="0"/>
                  </w:tcBorders>
                  <w:vAlign w:val="center"/>
                </w:tcPr>
                <w:p w14:paraId="41267962">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满分或零分</w:t>
                  </w:r>
                </w:p>
              </w:tc>
              <w:tc>
                <w:tcPr>
                  <w:tcW w:w="1667" w:type="pct"/>
                  <w:tcBorders>
                    <w:top w:val="single" w:color="000000" w:sz="4" w:space="0"/>
                    <w:left w:val="single" w:color="000000" w:sz="4" w:space="0"/>
                    <w:bottom w:val="single" w:color="000000" w:sz="4" w:space="0"/>
                    <w:right w:val="single" w:color="000000" w:sz="4" w:space="0"/>
                  </w:tcBorders>
                  <w:vAlign w:val="center"/>
                </w:tcPr>
                <w:p w14:paraId="7C0B7AEA">
                  <w:pPr>
                    <w:spacing w:before="62" w:after="62" w:line="240" w:lineRule="auto"/>
                    <w:ind w:firstLine="400"/>
                    <w:jc w:val="center"/>
                    <w:rPr>
                      <w:rFonts w:hint="eastAsia" w:ascii="仿宋" w:hAnsi="仿宋" w:eastAsia="仿宋"/>
                      <w:sz w:val="20"/>
                      <w:szCs w:val="24"/>
                    </w:rPr>
                  </w:pPr>
                </w:p>
              </w:tc>
              <w:tc>
                <w:tcPr>
                  <w:tcW w:w="809" w:type="pct"/>
                  <w:tcBorders>
                    <w:top w:val="single" w:color="000000" w:sz="4" w:space="0"/>
                    <w:left w:val="single" w:color="000000" w:sz="4" w:space="0"/>
                    <w:bottom w:val="single" w:color="000000" w:sz="4" w:space="0"/>
                    <w:right w:val="single" w:color="000000" w:sz="4" w:space="0"/>
                  </w:tcBorders>
                  <w:vAlign w:val="center"/>
                </w:tcPr>
                <w:p w14:paraId="5F776CCD">
                  <w:pPr>
                    <w:spacing w:before="62" w:after="62" w:line="240" w:lineRule="auto"/>
                    <w:ind w:firstLine="400"/>
                    <w:jc w:val="center"/>
                    <w:rPr>
                      <w:rFonts w:hint="eastAsia" w:ascii="仿宋" w:hAnsi="仿宋" w:eastAsia="仿宋"/>
                      <w:sz w:val="20"/>
                      <w:szCs w:val="24"/>
                    </w:rPr>
                  </w:pPr>
                </w:p>
              </w:tc>
              <w:tc>
                <w:tcPr>
                  <w:tcW w:w="750" w:type="pct"/>
                  <w:tcBorders>
                    <w:top w:val="single" w:color="000000" w:sz="4" w:space="0"/>
                    <w:left w:val="single" w:color="000000" w:sz="4" w:space="0"/>
                    <w:bottom w:val="single" w:color="000000" w:sz="4" w:space="0"/>
                    <w:right w:val="single" w:color="000000" w:sz="4" w:space="0"/>
                  </w:tcBorders>
                  <w:vAlign w:val="center"/>
                </w:tcPr>
                <w:p w14:paraId="0395CFD0">
                  <w:pPr>
                    <w:spacing w:before="62" w:after="62" w:line="240" w:lineRule="auto"/>
                    <w:ind w:firstLine="400"/>
                    <w:jc w:val="center"/>
                    <w:rPr>
                      <w:rFonts w:hint="eastAsia" w:ascii="仿宋" w:hAnsi="仿宋" w:eastAsia="仿宋"/>
                      <w:sz w:val="20"/>
                      <w:szCs w:val="24"/>
                    </w:rPr>
                  </w:pPr>
                </w:p>
              </w:tc>
              <w:tc>
                <w:tcPr>
                  <w:tcW w:w="799" w:type="pct"/>
                  <w:tcBorders>
                    <w:top w:val="single" w:color="000000" w:sz="4" w:space="0"/>
                    <w:left w:val="single" w:color="000000" w:sz="4" w:space="0"/>
                    <w:bottom w:val="single" w:color="000000" w:sz="4" w:space="0"/>
                    <w:right w:val="single" w:color="auto" w:sz="4" w:space="0"/>
                  </w:tcBorders>
                  <w:vAlign w:val="center"/>
                </w:tcPr>
                <w:p w14:paraId="25522226">
                  <w:pPr>
                    <w:spacing w:before="62" w:after="62" w:line="240" w:lineRule="auto"/>
                    <w:ind w:firstLine="400"/>
                    <w:jc w:val="center"/>
                    <w:rPr>
                      <w:rFonts w:hint="eastAsia" w:ascii="仿宋" w:hAnsi="仿宋" w:eastAsia="仿宋"/>
                      <w:sz w:val="20"/>
                      <w:szCs w:val="24"/>
                    </w:rPr>
                  </w:pPr>
                </w:p>
              </w:tc>
            </w:tr>
            <w:tr w14:paraId="69B348E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75" w:type="pct"/>
                  <w:tcBorders>
                    <w:top w:val="single" w:color="000000" w:sz="4" w:space="0"/>
                    <w:left w:val="single" w:color="auto" w:sz="4" w:space="0"/>
                    <w:bottom w:val="single" w:color="000000" w:sz="12" w:space="0"/>
                    <w:right w:val="single" w:color="000000" w:sz="4" w:space="0"/>
                  </w:tcBorders>
                  <w:vAlign w:val="center"/>
                </w:tcPr>
                <w:p w14:paraId="7F2F0737">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从零分开始加</w:t>
                  </w:r>
                </w:p>
              </w:tc>
              <w:tc>
                <w:tcPr>
                  <w:tcW w:w="1667" w:type="pct"/>
                  <w:tcBorders>
                    <w:top w:val="single" w:color="000000" w:sz="4" w:space="0"/>
                    <w:left w:val="single" w:color="000000" w:sz="4" w:space="0"/>
                    <w:bottom w:val="single" w:color="000000" w:sz="12" w:space="0"/>
                    <w:right w:val="single" w:color="000000" w:sz="4" w:space="0"/>
                  </w:tcBorders>
                  <w:vAlign w:val="center"/>
                </w:tcPr>
                <w:p w14:paraId="4A34C164">
                  <w:pPr>
                    <w:spacing w:before="62" w:after="62" w:line="240" w:lineRule="auto"/>
                    <w:ind w:firstLine="400"/>
                    <w:jc w:val="center"/>
                    <w:rPr>
                      <w:rFonts w:hint="eastAsia" w:ascii="仿宋" w:hAnsi="仿宋" w:eastAsia="仿宋"/>
                      <w:sz w:val="20"/>
                      <w:szCs w:val="24"/>
                    </w:rPr>
                  </w:pPr>
                </w:p>
              </w:tc>
              <w:tc>
                <w:tcPr>
                  <w:tcW w:w="809" w:type="pct"/>
                  <w:tcBorders>
                    <w:top w:val="single" w:color="000000" w:sz="4" w:space="0"/>
                    <w:left w:val="single" w:color="000000" w:sz="4" w:space="0"/>
                    <w:bottom w:val="single" w:color="000000" w:sz="12" w:space="0"/>
                    <w:right w:val="single" w:color="000000" w:sz="4" w:space="0"/>
                  </w:tcBorders>
                  <w:vAlign w:val="center"/>
                </w:tcPr>
                <w:p w14:paraId="64EBEF45">
                  <w:pPr>
                    <w:spacing w:before="62" w:after="62" w:line="240" w:lineRule="auto"/>
                    <w:ind w:firstLine="400"/>
                    <w:jc w:val="center"/>
                    <w:rPr>
                      <w:rFonts w:hint="eastAsia" w:ascii="仿宋" w:hAnsi="仿宋" w:eastAsia="仿宋"/>
                      <w:sz w:val="20"/>
                      <w:szCs w:val="24"/>
                    </w:rPr>
                  </w:pPr>
                </w:p>
              </w:tc>
              <w:tc>
                <w:tcPr>
                  <w:tcW w:w="750" w:type="pct"/>
                  <w:tcBorders>
                    <w:top w:val="single" w:color="000000" w:sz="4" w:space="0"/>
                    <w:left w:val="single" w:color="000000" w:sz="4" w:space="0"/>
                    <w:bottom w:val="single" w:color="000000" w:sz="12" w:space="0"/>
                    <w:right w:val="single" w:color="000000" w:sz="4" w:space="0"/>
                  </w:tcBorders>
                  <w:vAlign w:val="center"/>
                </w:tcPr>
                <w:p w14:paraId="4A471104">
                  <w:pPr>
                    <w:spacing w:before="62" w:after="62" w:line="240" w:lineRule="auto"/>
                    <w:ind w:firstLine="400"/>
                    <w:jc w:val="center"/>
                    <w:rPr>
                      <w:rFonts w:hint="eastAsia" w:ascii="仿宋" w:hAnsi="仿宋" w:eastAsia="仿宋"/>
                      <w:sz w:val="20"/>
                      <w:szCs w:val="24"/>
                    </w:rPr>
                  </w:pPr>
                </w:p>
              </w:tc>
              <w:tc>
                <w:tcPr>
                  <w:tcW w:w="799" w:type="pct"/>
                  <w:tcBorders>
                    <w:top w:val="single" w:color="000000" w:sz="4" w:space="0"/>
                    <w:left w:val="single" w:color="000000" w:sz="4" w:space="0"/>
                    <w:bottom w:val="single" w:color="000000" w:sz="12" w:space="0"/>
                    <w:right w:val="single" w:color="auto" w:sz="4" w:space="0"/>
                  </w:tcBorders>
                  <w:vAlign w:val="center"/>
                </w:tcPr>
                <w:p w14:paraId="2364B653">
                  <w:pPr>
                    <w:spacing w:before="62" w:after="62" w:line="240" w:lineRule="auto"/>
                    <w:ind w:firstLine="400"/>
                    <w:jc w:val="center"/>
                    <w:rPr>
                      <w:rFonts w:hint="eastAsia" w:ascii="仿宋" w:hAnsi="仿宋" w:eastAsia="仿宋"/>
                      <w:sz w:val="20"/>
                      <w:szCs w:val="24"/>
                    </w:rPr>
                  </w:pPr>
                </w:p>
              </w:tc>
            </w:tr>
          </w:tbl>
          <w:p w14:paraId="1E00629E">
            <w:pPr>
              <w:spacing w:before="62" w:after="62"/>
              <w:ind w:firstLine="480"/>
              <w:rPr>
                <w:rFonts w:hint="eastAsia" w:ascii="仿宋" w:hAnsi="仿宋" w:eastAsia="仿宋" w:cs="Arial"/>
                <w:sz w:val="24"/>
                <w:szCs w:val="30"/>
              </w:rPr>
            </w:pPr>
            <w:r>
              <w:rPr>
                <w:rFonts w:hint="eastAsia" w:ascii="仿宋" w:hAnsi="仿宋" w:eastAsia="仿宋" w:cs="Arial"/>
                <w:sz w:val="24"/>
                <w:szCs w:val="30"/>
              </w:rPr>
              <w:t>（样例：测量评分准则）</w:t>
            </w:r>
          </w:p>
          <w:tbl>
            <w:tblPr>
              <w:tblStyle w:val="4"/>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1601"/>
              <w:gridCol w:w="2740"/>
              <w:gridCol w:w="1330"/>
              <w:gridCol w:w="1233"/>
              <w:gridCol w:w="1313"/>
            </w:tblGrid>
            <w:tr w14:paraId="6155C42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PrEx>
              <w:trPr>
                <w:trHeight w:val="397" w:hRule="atLeast"/>
                <w:jc w:val="center"/>
              </w:trPr>
              <w:tc>
                <w:tcPr>
                  <w:tcW w:w="975" w:type="pct"/>
                  <w:tcBorders>
                    <w:top w:val="single" w:color="000000" w:sz="12" w:space="0"/>
                    <w:left w:val="single" w:color="auto" w:sz="4" w:space="0"/>
                    <w:bottom w:val="single" w:color="000000" w:sz="4" w:space="0"/>
                    <w:right w:val="single" w:color="000000" w:sz="4" w:space="0"/>
                  </w:tcBorders>
                  <w:vAlign w:val="center"/>
                </w:tcPr>
                <w:p w14:paraId="0FD410AE">
                  <w:pPr>
                    <w:spacing w:before="62" w:after="62" w:line="240" w:lineRule="auto"/>
                    <w:ind w:firstLine="0" w:firstLineChars="0"/>
                    <w:rPr>
                      <w:rFonts w:hint="eastAsia" w:ascii="仿宋" w:hAnsi="仿宋" w:eastAsia="仿宋"/>
                      <w:b/>
                      <w:sz w:val="20"/>
                      <w:szCs w:val="24"/>
                    </w:rPr>
                  </w:pPr>
                  <w:r>
                    <w:rPr>
                      <w:rFonts w:hint="eastAsia" w:ascii="仿宋" w:hAnsi="仿宋" w:eastAsia="仿宋"/>
                      <w:b/>
                      <w:sz w:val="20"/>
                      <w:szCs w:val="24"/>
                    </w:rPr>
                    <w:t>类型</w:t>
                  </w:r>
                </w:p>
              </w:tc>
              <w:tc>
                <w:tcPr>
                  <w:tcW w:w="1667" w:type="pct"/>
                  <w:tcBorders>
                    <w:top w:val="single" w:color="000000" w:sz="12" w:space="0"/>
                    <w:left w:val="single" w:color="000000" w:sz="4" w:space="0"/>
                    <w:bottom w:val="single" w:color="000000" w:sz="4" w:space="0"/>
                    <w:right w:val="single" w:color="000000" w:sz="4" w:space="0"/>
                  </w:tcBorders>
                  <w:vAlign w:val="center"/>
                </w:tcPr>
                <w:p w14:paraId="5590AF69">
                  <w:pPr>
                    <w:spacing w:before="62" w:after="62" w:line="240" w:lineRule="auto"/>
                    <w:ind w:firstLine="0" w:firstLineChars="0"/>
                    <w:rPr>
                      <w:rFonts w:hint="eastAsia" w:ascii="仿宋" w:hAnsi="仿宋" w:eastAsia="仿宋"/>
                      <w:b/>
                      <w:sz w:val="20"/>
                      <w:szCs w:val="24"/>
                    </w:rPr>
                  </w:pPr>
                  <w:r>
                    <w:rPr>
                      <w:rFonts w:hint="eastAsia" w:ascii="仿宋" w:hAnsi="仿宋" w:eastAsia="仿宋"/>
                      <w:b/>
                      <w:sz w:val="20"/>
                      <w:szCs w:val="24"/>
                    </w:rPr>
                    <w:t>示例</w:t>
                  </w:r>
                </w:p>
              </w:tc>
              <w:tc>
                <w:tcPr>
                  <w:tcW w:w="809" w:type="pct"/>
                  <w:tcBorders>
                    <w:top w:val="single" w:color="000000" w:sz="12" w:space="0"/>
                    <w:left w:val="single" w:color="000000" w:sz="4" w:space="0"/>
                    <w:bottom w:val="single" w:color="000000" w:sz="4" w:space="0"/>
                    <w:right w:val="single" w:color="000000" w:sz="4" w:space="0"/>
                  </w:tcBorders>
                  <w:vAlign w:val="center"/>
                </w:tcPr>
                <w:p w14:paraId="2AA644EF">
                  <w:pPr>
                    <w:spacing w:before="62" w:after="62" w:line="240" w:lineRule="auto"/>
                    <w:ind w:firstLine="0" w:firstLineChars="0"/>
                    <w:rPr>
                      <w:rFonts w:hint="eastAsia" w:ascii="仿宋" w:hAnsi="仿宋" w:eastAsia="仿宋"/>
                      <w:b/>
                      <w:sz w:val="20"/>
                      <w:szCs w:val="24"/>
                    </w:rPr>
                  </w:pPr>
                  <w:r>
                    <w:rPr>
                      <w:rFonts w:hint="eastAsia" w:ascii="仿宋" w:hAnsi="仿宋" w:eastAsia="仿宋"/>
                      <w:b/>
                      <w:sz w:val="20"/>
                      <w:szCs w:val="24"/>
                    </w:rPr>
                    <w:t>最高分值</w:t>
                  </w:r>
                </w:p>
              </w:tc>
              <w:tc>
                <w:tcPr>
                  <w:tcW w:w="750" w:type="pct"/>
                  <w:tcBorders>
                    <w:top w:val="single" w:color="000000" w:sz="12" w:space="0"/>
                    <w:left w:val="single" w:color="000000" w:sz="4" w:space="0"/>
                    <w:bottom w:val="single" w:color="000000" w:sz="4" w:space="0"/>
                    <w:right w:val="single" w:color="000000" w:sz="4" w:space="0"/>
                  </w:tcBorders>
                  <w:vAlign w:val="center"/>
                </w:tcPr>
                <w:p w14:paraId="47AF4CFB">
                  <w:pPr>
                    <w:spacing w:before="62" w:after="62" w:line="240" w:lineRule="auto"/>
                    <w:ind w:firstLine="0" w:firstLineChars="0"/>
                    <w:rPr>
                      <w:rFonts w:hint="eastAsia" w:ascii="仿宋" w:hAnsi="仿宋" w:eastAsia="仿宋"/>
                      <w:b/>
                      <w:sz w:val="20"/>
                      <w:szCs w:val="24"/>
                    </w:rPr>
                  </w:pPr>
                  <w:r>
                    <w:rPr>
                      <w:rFonts w:hint="eastAsia" w:ascii="仿宋" w:hAnsi="仿宋" w:eastAsia="仿宋"/>
                      <w:b/>
                      <w:sz w:val="20"/>
                      <w:szCs w:val="24"/>
                    </w:rPr>
                    <w:t>正确分值</w:t>
                  </w:r>
                </w:p>
              </w:tc>
              <w:tc>
                <w:tcPr>
                  <w:tcW w:w="799" w:type="pct"/>
                  <w:tcBorders>
                    <w:top w:val="single" w:color="000000" w:sz="12" w:space="0"/>
                    <w:left w:val="single" w:color="000000" w:sz="4" w:space="0"/>
                    <w:bottom w:val="single" w:color="000000" w:sz="4" w:space="0"/>
                    <w:right w:val="single" w:color="auto" w:sz="4" w:space="0"/>
                  </w:tcBorders>
                  <w:vAlign w:val="center"/>
                </w:tcPr>
                <w:p w14:paraId="2B290FF4">
                  <w:pPr>
                    <w:spacing w:before="62" w:after="62" w:line="240" w:lineRule="auto"/>
                    <w:ind w:firstLine="0" w:firstLineChars="0"/>
                    <w:rPr>
                      <w:rFonts w:hint="eastAsia" w:ascii="仿宋" w:hAnsi="仿宋" w:eastAsia="仿宋"/>
                      <w:b/>
                      <w:sz w:val="20"/>
                      <w:szCs w:val="24"/>
                    </w:rPr>
                  </w:pPr>
                  <w:r>
                    <w:rPr>
                      <w:rFonts w:hint="eastAsia" w:ascii="仿宋" w:hAnsi="仿宋" w:eastAsia="仿宋"/>
                      <w:b/>
                      <w:sz w:val="20"/>
                      <w:szCs w:val="24"/>
                    </w:rPr>
                    <w:t>不正确分值</w:t>
                  </w:r>
                </w:p>
              </w:tc>
            </w:tr>
            <w:tr w14:paraId="04AAE50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75" w:type="pct"/>
                  <w:tcBorders>
                    <w:top w:val="single" w:color="000000" w:sz="4" w:space="0"/>
                    <w:left w:val="single" w:color="auto" w:sz="4" w:space="0"/>
                    <w:bottom w:val="single" w:color="000000" w:sz="4" w:space="0"/>
                    <w:right w:val="single" w:color="000000" w:sz="4" w:space="0"/>
                  </w:tcBorders>
                  <w:vAlign w:val="center"/>
                </w:tcPr>
                <w:p w14:paraId="3252F512">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满分或零分</w:t>
                  </w:r>
                </w:p>
              </w:tc>
              <w:tc>
                <w:tcPr>
                  <w:tcW w:w="1667" w:type="pct"/>
                  <w:tcBorders>
                    <w:top w:val="single" w:color="000000" w:sz="4" w:space="0"/>
                    <w:left w:val="single" w:color="000000" w:sz="4" w:space="0"/>
                    <w:bottom w:val="single" w:color="000000" w:sz="4" w:space="0"/>
                    <w:right w:val="single" w:color="000000" w:sz="4" w:space="0"/>
                  </w:tcBorders>
                  <w:vAlign w:val="center"/>
                </w:tcPr>
                <w:p w14:paraId="33907268">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配置温湿度传感器地址</w:t>
                  </w:r>
                </w:p>
              </w:tc>
              <w:tc>
                <w:tcPr>
                  <w:tcW w:w="809" w:type="pct"/>
                  <w:tcBorders>
                    <w:top w:val="single" w:color="000000" w:sz="4" w:space="0"/>
                    <w:left w:val="single" w:color="000000" w:sz="4" w:space="0"/>
                    <w:bottom w:val="single" w:color="000000" w:sz="4" w:space="0"/>
                    <w:right w:val="single" w:color="000000" w:sz="4" w:space="0"/>
                  </w:tcBorders>
                  <w:vAlign w:val="center"/>
                </w:tcPr>
                <w:p w14:paraId="4781C278">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0.50</w:t>
                  </w:r>
                </w:p>
              </w:tc>
              <w:tc>
                <w:tcPr>
                  <w:tcW w:w="750" w:type="pct"/>
                  <w:tcBorders>
                    <w:top w:val="single" w:color="000000" w:sz="4" w:space="0"/>
                    <w:left w:val="single" w:color="000000" w:sz="4" w:space="0"/>
                    <w:bottom w:val="single" w:color="000000" w:sz="4" w:space="0"/>
                    <w:right w:val="single" w:color="000000" w:sz="4" w:space="0"/>
                  </w:tcBorders>
                  <w:vAlign w:val="center"/>
                </w:tcPr>
                <w:p w14:paraId="580E4265">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0.50</w:t>
                  </w:r>
                </w:p>
              </w:tc>
              <w:tc>
                <w:tcPr>
                  <w:tcW w:w="799" w:type="pct"/>
                  <w:tcBorders>
                    <w:top w:val="single" w:color="000000" w:sz="4" w:space="0"/>
                    <w:left w:val="single" w:color="000000" w:sz="4" w:space="0"/>
                    <w:bottom w:val="single" w:color="000000" w:sz="4" w:space="0"/>
                    <w:right w:val="single" w:color="auto" w:sz="4" w:space="0"/>
                  </w:tcBorders>
                  <w:vAlign w:val="center"/>
                </w:tcPr>
                <w:p w14:paraId="3615FD80">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0</w:t>
                  </w:r>
                </w:p>
              </w:tc>
            </w:tr>
            <w:tr w14:paraId="6183308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75" w:type="pct"/>
                  <w:tcBorders>
                    <w:top w:val="single" w:color="000000" w:sz="4" w:space="0"/>
                    <w:left w:val="single" w:color="auto" w:sz="4" w:space="0"/>
                    <w:bottom w:val="single" w:color="000000" w:sz="12" w:space="0"/>
                    <w:right w:val="single" w:color="000000" w:sz="4" w:space="0"/>
                  </w:tcBorders>
                  <w:vAlign w:val="center"/>
                </w:tcPr>
                <w:p w14:paraId="2B21FD7D">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从零分开始加</w:t>
                  </w:r>
                </w:p>
              </w:tc>
              <w:tc>
                <w:tcPr>
                  <w:tcW w:w="1667" w:type="pct"/>
                  <w:tcBorders>
                    <w:top w:val="single" w:color="000000" w:sz="4" w:space="0"/>
                    <w:left w:val="single" w:color="000000" w:sz="4" w:space="0"/>
                    <w:bottom w:val="single" w:color="000000" w:sz="12" w:space="0"/>
                    <w:right w:val="single" w:color="000000" w:sz="4" w:space="0"/>
                  </w:tcBorders>
                  <w:vAlign w:val="center"/>
                </w:tcPr>
                <w:p w14:paraId="52066F1D">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通过人工智能云平台控制各执行器运作。</w:t>
                  </w:r>
                </w:p>
              </w:tc>
              <w:tc>
                <w:tcPr>
                  <w:tcW w:w="809" w:type="pct"/>
                  <w:tcBorders>
                    <w:top w:val="single" w:color="000000" w:sz="4" w:space="0"/>
                    <w:left w:val="single" w:color="000000" w:sz="4" w:space="0"/>
                    <w:bottom w:val="single" w:color="000000" w:sz="12" w:space="0"/>
                    <w:right w:val="single" w:color="000000" w:sz="4" w:space="0"/>
                  </w:tcBorders>
                  <w:vAlign w:val="center"/>
                </w:tcPr>
                <w:p w14:paraId="5BE1890B">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1.0</w:t>
                  </w:r>
                </w:p>
              </w:tc>
              <w:tc>
                <w:tcPr>
                  <w:tcW w:w="750" w:type="pct"/>
                  <w:tcBorders>
                    <w:top w:val="single" w:color="000000" w:sz="4" w:space="0"/>
                    <w:left w:val="single" w:color="000000" w:sz="4" w:space="0"/>
                    <w:bottom w:val="single" w:color="000000" w:sz="12" w:space="0"/>
                    <w:right w:val="single" w:color="000000" w:sz="4" w:space="0"/>
                  </w:tcBorders>
                  <w:vAlign w:val="center"/>
                </w:tcPr>
                <w:p w14:paraId="76535F35">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1.0</w:t>
                  </w:r>
                </w:p>
              </w:tc>
              <w:tc>
                <w:tcPr>
                  <w:tcW w:w="799" w:type="pct"/>
                  <w:tcBorders>
                    <w:top w:val="single" w:color="000000" w:sz="4" w:space="0"/>
                    <w:left w:val="single" w:color="000000" w:sz="4" w:space="0"/>
                    <w:bottom w:val="single" w:color="000000" w:sz="12" w:space="0"/>
                    <w:right w:val="single" w:color="auto" w:sz="4" w:space="0"/>
                  </w:tcBorders>
                  <w:vAlign w:val="center"/>
                </w:tcPr>
                <w:p w14:paraId="777869E3">
                  <w:pPr>
                    <w:spacing w:before="62" w:after="62" w:line="240" w:lineRule="auto"/>
                    <w:ind w:firstLine="0" w:firstLineChars="0"/>
                    <w:rPr>
                      <w:rFonts w:hint="eastAsia" w:ascii="仿宋" w:hAnsi="仿宋" w:eastAsia="仿宋"/>
                      <w:sz w:val="20"/>
                      <w:szCs w:val="24"/>
                    </w:rPr>
                  </w:pPr>
                  <w:r>
                    <w:rPr>
                      <w:rFonts w:hint="eastAsia" w:ascii="仿宋" w:hAnsi="仿宋" w:eastAsia="仿宋"/>
                      <w:sz w:val="20"/>
                      <w:szCs w:val="24"/>
                    </w:rPr>
                    <w:t>0 – 0.5</w:t>
                  </w:r>
                </w:p>
              </w:tc>
            </w:tr>
          </w:tbl>
          <w:p w14:paraId="00EACAF9">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本项目在“展示讲解”部分评分标准主要从技能水平（20%）、职业素养（20%）、应用价值（20%）、团队合作（20%）、创新创意（20%）等五个方面，按权重对参赛队伍做整体评价，具体如下表格所示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69"/>
              <w:gridCol w:w="5866"/>
              <w:gridCol w:w="872"/>
            </w:tblGrid>
            <w:tr w14:paraId="40B5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trPr>
              <w:tc>
                <w:tcPr>
                  <w:tcW w:w="1501" w:type="dxa"/>
                  <w:tcBorders>
                    <w:top w:val="single" w:color="auto" w:sz="4" w:space="0"/>
                    <w:left w:val="single" w:color="auto" w:sz="4" w:space="0"/>
                    <w:bottom w:val="single" w:color="auto" w:sz="4" w:space="0"/>
                    <w:right w:val="single" w:color="auto" w:sz="4" w:space="0"/>
                  </w:tcBorders>
                  <w:vAlign w:val="center"/>
                </w:tcPr>
                <w:p w14:paraId="4A7970F2">
                  <w:pPr>
                    <w:snapToGrid w:val="0"/>
                    <w:spacing w:before="62" w:after="62" w:line="240" w:lineRule="auto"/>
                    <w:ind w:firstLine="402"/>
                    <w:jc w:val="center"/>
                    <w:rPr>
                      <w:rFonts w:hint="eastAsia" w:ascii="仿宋" w:hAnsi="仿宋" w:eastAsia="仿宋" w:cs="仿宋"/>
                      <w:b/>
                      <w:bCs/>
                      <w:color w:val="000000"/>
                      <w:sz w:val="20"/>
                      <w:szCs w:val="28"/>
                    </w:rPr>
                  </w:pPr>
                  <w:r>
                    <w:rPr>
                      <w:rFonts w:hint="eastAsia" w:ascii="仿宋" w:hAnsi="仿宋" w:eastAsia="仿宋" w:cs="仿宋"/>
                      <w:b/>
                      <w:bCs/>
                      <w:color w:val="000000"/>
                      <w:sz w:val="20"/>
                      <w:szCs w:val="28"/>
                    </w:rPr>
                    <w:t>评分要点</w:t>
                  </w:r>
                </w:p>
              </w:tc>
              <w:tc>
                <w:tcPr>
                  <w:tcW w:w="6120" w:type="dxa"/>
                  <w:tcBorders>
                    <w:top w:val="single" w:color="auto" w:sz="4" w:space="0"/>
                    <w:left w:val="single" w:color="auto" w:sz="4" w:space="0"/>
                    <w:bottom w:val="single" w:color="auto" w:sz="4" w:space="0"/>
                    <w:right w:val="single" w:color="auto" w:sz="4" w:space="0"/>
                  </w:tcBorders>
                  <w:vAlign w:val="center"/>
                </w:tcPr>
                <w:p w14:paraId="2FEEE07D">
                  <w:pPr>
                    <w:snapToGrid w:val="0"/>
                    <w:spacing w:before="62" w:after="62" w:line="240" w:lineRule="auto"/>
                    <w:ind w:firstLine="402"/>
                    <w:jc w:val="center"/>
                    <w:rPr>
                      <w:rFonts w:hint="eastAsia" w:ascii="仿宋" w:hAnsi="仿宋" w:eastAsia="仿宋" w:cs="仿宋"/>
                      <w:b/>
                      <w:bCs/>
                      <w:color w:val="000000"/>
                      <w:sz w:val="20"/>
                      <w:szCs w:val="28"/>
                    </w:rPr>
                  </w:pPr>
                  <w:r>
                    <w:rPr>
                      <w:rFonts w:hint="eastAsia" w:ascii="仿宋" w:hAnsi="仿宋" w:eastAsia="仿宋" w:cs="仿宋"/>
                      <w:b/>
                      <w:bCs/>
                      <w:color w:val="000000"/>
                      <w:sz w:val="20"/>
                      <w:szCs w:val="28"/>
                    </w:rPr>
                    <w:t>评审内容</w:t>
                  </w:r>
                </w:p>
              </w:tc>
              <w:tc>
                <w:tcPr>
                  <w:tcW w:w="901" w:type="dxa"/>
                  <w:tcBorders>
                    <w:top w:val="single" w:color="auto" w:sz="4" w:space="0"/>
                    <w:left w:val="single" w:color="auto" w:sz="4" w:space="0"/>
                    <w:bottom w:val="single" w:color="auto" w:sz="4" w:space="0"/>
                    <w:right w:val="single" w:color="auto" w:sz="4" w:space="0"/>
                  </w:tcBorders>
                  <w:vAlign w:val="center"/>
                </w:tcPr>
                <w:p w14:paraId="7A26E1EA">
                  <w:pPr>
                    <w:snapToGrid w:val="0"/>
                    <w:spacing w:before="62" w:after="62" w:line="240" w:lineRule="auto"/>
                    <w:ind w:firstLine="0" w:firstLineChars="0"/>
                    <w:jc w:val="center"/>
                    <w:rPr>
                      <w:rFonts w:hint="eastAsia" w:ascii="仿宋" w:hAnsi="仿宋" w:eastAsia="仿宋" w:cs="仿宋"/>
                      <w:b/>
                      <w:bCs/>
                      <w:color w:val="000000"/>
                      <w:sz w:val="20"/>
                      <w:szCs w:val="28"/>
                    </w:rPr>
                  </w:pPr>
                  <w:r>
                    <w:rPr>
                      <w:rFonts w:hint="eastAsia" w:ascii="仿宋" w:hAnsi="仿宋" w:eastAsia="仿宋" w:cs="仿宋"/>
                      <w:b/>
                      <w:bCs/>
                      <w:color w:val="000000"/>
                      <w:sz w:val="20"/>
                      <w:szCs w:val="28"/>
                    </w:rPr>
                    <w:t>权重</w:t>
                  </w:r>
                </w:p>
              </w:tc>
            </w:tr>
            <w:tr w14:paraId="119ED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1" w:hRule="atLeast"/>
              </w:trPr>
              <w:tc>
                <w:tcPr>
                  <w:tcW w:w="1501" w:type="dxa"/>
                  <w:tcBorders>
                    <w:top w:val="single" w:color="auto" w:sz="4" w:space="0"/>
                    <w:left w:val="single" w:color="auto" w:sz="4" w:space="0"/>
                    <w:bottom w:val="single" w:color="auto" w:sz="4" w:space="0"/>
                    <w:right w:val="single" w:color="auto" w:sz="4" w:space="0"/>
                  </w:tcBorders>
                  <w:vAlign w:val="center"/>
                </w:tcPr>
                <w:p w14:paraId="1944A456">
                  <w:pPr>
                    <w:snapToGrid w:val="0"/>
                    <w:spacing w:before="62" w:after="62" w:line="240" w:lineRule="auto"/>
                    <w:ind w:firstLine="0" w:firstLineChars="0"/>
                    <w:jc w:val="center"/>
                    <w:rPr>
                      <w:rFonts w:hint="eastAsia" w:ascii="仿宋" w:hAnsi="仿宋" w:eastAsia="仿宋" w:cs="仿宋"/>
                      <w:color w:val="000000"/>
                      <w:sz w:val="20"/>
                      <w:szCs w:val="28"/>
                    </w:rPr>
                  </w:pPr>
                  <w:r>
                    <w:rPr>
                      <w:rFonts w:hint="eastAsia" w:ascii="仿宋" w:hAnsi="仿宋" w:eastAsia="仿宋" w:cs="仿宋"/>
                      <w:color w:val="000000"/>
                      <w:sz w:val="20"/>
                      <w:szCs w:val="28"/>
                    </w:rPr>
                    <w:t>技能水平</w:t>
                  </w:r>
                </w:p>
              </w:tc>
              <w:tc>
                <w:tcPr>
                  <w:tcW w:w="6120" w:type="dxa"/>
                  <w:tcBorders>
                    <w:top w:val="single" w:color="auto" w:sz="4" w:space="0"/>
                    <w:left w:val="single" w:color="auto" w:sz="4" w:space="0"/>
                    <w:bottom w:val="single" w:color="auto" w:sz="4" w:space="0"/>
                    <w:right w:val="single" w:color="auto" w:sz="4" w:space="0"/>
                  </w:tcBorders>
                  <w:vAlign w:val="center"/>
                </w:tcPr>
                <w:p w14:paraId="79613189">
                  <w:pPr>
                    <w:widowControl/>
                    <w:spacing w:before="62" w:after="62" w:line="240" w:lineRule="auto"/>
                    <w:ind w:firstLine="400"/>
                    <w:jc w:val="left"/>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1、技能操作规范，符合行业标准和岗位要求。</w:t>
                  </w:r>
                </w:p>
                <w:p w14:paraId="20B63AC0">
                  <w:pPr>
                    <w:widowControl/>
                    <w:spacing w:before="62" w:after="62" w:line="240" w:lineRule="auto"/>
                    <w:ind w:firstLine="400"/>
                    <w:jc w:val="left"/>
                    <w:rPr>
                      <w:rFonts w:hint="eastAsia" w:ascii="仿宋" w:hAnsi="仿宋" w:eastAsia="仿宋" w:cs="仿宋"/>
                      <w:sz w:val="20"/>
                    </w:rPr>
                  </w:pPr>
                  <w:r>
                    <w:rPr>
                      <w:rFonts w:hint="eastAsia" w:ascii="仿宋" w:hAnsi="仿宋" w:eastAsia="仿宋" w:cs="仿宋"/>
                      <w:color w:val="000000"/>
                      <w:kern w:val="0"/>
                      <w:sz w:val="20"/>
                      <w:lang w:bidi="ar"/>
                    </w:rPr>
                    <w:t>2、知识技术应用和软硬件等工具使用熟练，操作流畅，运用精准，任务进度控制和时间利用合理。</w:t>
                  </w:r>
                </w:p>
                <w:p w14:paraId="09F89379">
                  <w:pPr>
                    <w:widowControl/>
                    <w:spacing w:before="62" w:after="62" w:line="240" w:lineRule="auto"/>
                    <w:ind w:firstLine="400"/>
                    <w:jc w:val="left"/>
                    <w:rPr>
                      <w:rFonts w:hint="eastAsia" w:ascii="仿宋" w:hAnsi="仿宋" w:eastAsia="仿宋" w:cs="仿宋"/>
                      <w:sz w:val="20"/>
                    </w:rPr>
                  </w:pPr>
                  <w:r>
                    <w:rPr>
                      <w:rFonts w:hint="eastAsia" w:ascii="仿宋" w:hAnsi="仿宋" w:eastAsia="仿宋" w:cs="仿宋"/>
                      <w:color w:val="000000"/>
                      <w:kern w:val="0"/>
                      <w:sz w:val="20"/>
                      <w:lang w:bidi="ar"/>
                    </w:rPr>
                    <w:t>3、工作任务完整，突出关键技术，具有一定挑战性，需要较高技能操作水平和解决复杂问题的综合能力。</w:t>
                  </w:r>
                </w:p>
                <w:p w14:paraId="203E3385">
                  <w:pPr>
                    <w:widowControl/>
                    <w:spacing w:before="62" w:after="62" w:line="240" w:lineRule="auto"/>
                    <w:ind w:firstLine="400"/>
                    <w:jc w:val="left"/>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4、体现所属行业新标准、新技术、新场景应用，积极应用前沿技术、数字化技术，技术选择恰当。</w:t>
                  </w:r>
                </w:p>
                <w:p w14:paraId="0D4B2F64">
                  <w:pPr>
                    <w:widowControl/>
                    <w:spacing w:before="62" w:after="62" w:line="240" w:lineRule="auto"/>
                    <w:ind w:firstLine="400"/>
                    <w:jc w:val="left"/>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5、讲解内容逻辑清晰，重点突出，表达准确。</w:t>
                  </w:r>
                </w:p>
              </w:tc>
              <w:tc>
                <w:tcPr>
                  <w:tcW w:w="901" w:type="dxa"/>
                  <w:tcBorders>
                    <w:top w:val="single" w:color="auto" w:sz="4" w:space="0"/>
                    <w:left w:val="single" w:color="auto" w:sz="4" w:space="0"/>
                    <w:bottom w:val="single" w:color="auto" w:sz="4" w:space="0"/>
                    <w:right w:val="single" w:color="auto" w:sz="4" w:space="0"/>
                  </w:tcBorders>
                  <w:vAlign w:val="center"/>
                </w:tcPr>
                <w:p w14:paraId="1865BA0A">
                  <w:pPr>
                    <w:snapToGrid w:val="0"/>
                    <w:spacing w:before="62" w:after="62" w:line="240" w:lineRule="auto"/>
                    <w:ind w:firstLine="0" w:firstLineChars="0"/>
                    <w:jc w:val="center"/>
                    <w:rPr>
                      <w:rFonts w:hint="eastAsia" w:ascii="仿宋" w:hAnsi="仿宋" w:eastAsia="仿宋" w:cs="仿宋"/>
                      <w:color w:val="000000"/>
                      <w:sz w:val="20"/>
                      <w:szCs w:val="28"/>
                    </w:rPr>
                  </w:pPr>
                  <w:r>
                    <w:rPr>
                      <w:rFonts w:hint="eastAsia" w:ascii="仿宋" w:hAnsi="仿宋" w:eastAsia="仿宋" w:cs="仿宋"/>
                      <w:color w:val="000000"/>
                      <w:sz w:val="20"/>
                      <w:szCs w:val="28"/>
                    </w:rPr>
                    <w:t>20%</w:t>
                  </w:r>
                </w:p>
              </w:tc>
            </w:tr>
            <w:tr w14:paraId="583C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1" w:hRule="atLeast"/>
              </w:trPr>
              <w:tc>
                <w:tcPr>
                  <w:tcW w:w="1501" w:type="dxa"/>
                  <w:tcBorders>
                    <w:top w:val="single" w:color="auto" w:sz="4" w:space="0"/>
                    <w:left w:val="single" w:color="auto" w:sz="4" w:space="0"/>
                    <w:bottom w:val="single" w:color="auto" w:sz="4" w:space="0"/>
                    <w:right w:val="single" w:color="auto" w:sz="4" w:space="0"/>
                  </w:tcBorders>
                  <w:vAlign w:val="center"/>
                </w:tcPr>
                <w:p w14:paraId="16103169">
                  <w:pPr>
                    <w:snapToGrid w:val="0"/>
                    <w:spacing w:before="62" w:after="62" w:line="240" w:lineRule="auto"/>
                    <w:ind w:firstLine="0" w:firstLineChars="0"/>
                    <w:jc w:val="center"/>
                    <w:rPr>
                      <w:rFonts w:hint="eastAsia" w:ascii="仿宋" w:hAnsi="仿宋" w:eastAsia="仿宋" w:cs="仿宋"/>
                      <w:color w:val="000000"/>
                      <w:sz w:val="20"/>
                      <w:szCs w:val="28"/>
                    </w:rPr>
                  </w:pPr>
                  <w:r>
                    <w:rPr>
                      <w:rFonts w:hint="eastAsia" w:ascii="仿宋" w:hAnsi="仿宋" w:eastAsia="仿宋" w:cs="仿宋"/>
                      <w:color w:val="000000"/>
                      <w:sz w:val="20"/>
                      <w:szCs w:val="28"/>
                    </w:rPr>
                    <w:t>职业素养</w:t>
                  </w:r>
                </w:p>
              </w:tc>
              <w:tc>
                <w:tcPr>
                  <w:tcW w:w="6120" w:type="dxa"/>
                  <w:tcBorders>
                    <w:top w:val="single" w:color="auto" w:sz="4" w:space="0"/>
                    <w:left w:val="single" w:color="auto" w:sz="4" w:space="0"/>
                    <w:bottom w:val="single" w:color="auto" w:sz="4" w:space="0"/>
                    <w:right w:val="single" w:color="auto" w:sz="4" w:space="0"/>
                  </w:tcBorders>
                  <w:vAlign w:val="center"/>
                </w:tcPr>
                <w:p w14:paraId="064451E7">
                  <w:pPr>
                    <w:widowControl/>
                    <w:spacing w:before="62" w:after="62" w:line="240" w:lineRule="auto"/>
                    <w:ind w:firstLine="400"/>
                    <w:jc w:val="left"/>
                    <w:rPr>
                      <w:rFonts w:hint="eastAsia" w:ascii="仿宋" w:hAnsi="仿宋" w:eastAsia="仿宋" w:cs="仿宋"/>
                      <w:sz w:val="20"/>
                    </w:rPr>
                  </w:pPr>
                  <w:r>
                    <w:rPr>
                      <w:rFonts w:hint="eastAsia" w:ascii="仿宋" w:hAnsi="仿宋" w:eastAsia="仿宋" w:cs="仿宋"/>
                      <w:color w:val="000000"/>
                      <w:kern w:val="0"/>
                      <w:sz w:val="20"/>
                      <w:lang w:bidi="ar"/>
                    </w:rPr>
                    <w:t>1、诚信守法，尊重知识产权，遵守职业伦理，展现良好职业风貌。</w:t>
                  </w:r>
                </w:p>
                <w:p w14:paraId="0606CCB5">
                  <w:pPr>
                    <w:widowControl/>
                    <w:spacing w:before="62" w:after="62" w:line="240" w:lineRule="auto"/>
                    <w:ind w:firstLine="400"/>
                    <w:jc w:val="left"/>
                    <w:rPr>
                      <w:rFonts w:hint="eastAsia" w:ascii="仿宋" w:hAnsi="仿宋" w:eastAsia="仿宋" w:cs="仿宋"/>
                      <w:sz w:val="20"/>
                    </w:rPr>
                  </w:pPr>
                  <w:r>
                    <w:rPr>
                      <w:rFonts w:hint="eastAsia" w:ascii="仿宋" w:hAnsi="仿宋" w:eastAsia="仿宋" w:cs="仿宋"/>
                      <w:color w:val="000000"/>
                      <w:kern w:val="0"/>
                      <w:sz w:val="20"/>
                      <w:lang w:bidi="ar"/>
                    </w:rPr>
                    <w:t>2、注重细节，精益求精，追求卓越，体现管理意识和质量意识。</w:t>
                  </w:r>
                </w:p>
                <w:p w14:paraId="4DE801A9">
                  <w:pPr>
                    <w:widowControl/>
                    <w:spacing w:before="62" w:after="62" w:line="240" w:lineRule="auto"/>
                    <w:ind w:firstLine="400"/>
                    <w:jc w:val="left"/>
                    <w:rPr>
                      <w:rFonts w:hint="eastAsia" w:ascii="仿宋" w:hAnsi="仿宋" w:eastAsia="仿宋" w:cs="仿宋"/>
                      <w:color w:val="000000"/>
                      <w:sz w:val="20"/>
                      <w:szCs w:val="28"/>
                    </w:rPr>
                  </w:pPr>
                  <w:r>
                    <w:rPr>
                      <w:rFonts w:hint="eastAsia" w:ascii="仿宋" w:hAnsi="仿宋" w:eastAsia="仿宋" w:cs="仿宋"/>
                      <w:color w:val="000000"/>
                      <w:kern w:val="0"/>
                      <w:sz w:val="20"/>
                      <w:lang w:bidi="ar"/>
                    </w:rPr>
                    <w:t>3、严格遵守安全规范，具备劳动保护和风险防范意识。</w:t>
                  </w:r>
                </w:p>
              </w:tc>
              <w:tc>
                <w:tcPr>
                  <w:tcW w:w="901" w:type="dxa"/>
                  <w:tcBorders>
                    <w:top w:val="single" w:color="auto" w:sz="4" w:space="0"/>
                    <w:left w:val="single" w:color="auto" w:sz="4" w:space="0"/>
                    <w:bottom w:val="single" w:color="auto" w:sz="4" w:space="0"/>
                    <w:right w:val="single" w:color="auto" w:sz="4" w:space="0"/>
                  </w:tcBorders>
                  <w:vAlign w:val="center"/>
                </w:tcPr>
                <w:p w14:paraId="58949C4A">
                  <w:pPr>
                    <w:snapToGrid w:val="0"/>
                    <w:spacing w:before="62" w:after="62" w:line="240" w:lineRule="auto"/>
                    <w:ind w:firstLine="0" w:firstLineChars="0"/>
                    <w:jc w:val="center"/>
                    <w:rPr>
                      <w:rFonts w:hint="eastAsia" w:ascii="仿宋" w:hAnsi="仿宋" w:eastAsia="仿宋" w:cs="仿宋"/>
                      <w:color w:val="000000"/>
                      <w:sz w:val="20"/>
                      <w:szCs w:val="28"/>
                    </w:rPr>
                  </w:pPr>
                  <w:r>
                    <w:rPr>
                      <w:rFonts w:hint="eastAsia" w:ascii="仿宋" w:hAnsi="仿宋" w:eastAsia="仿宋" w:cs="仿宋"/>
                      <w:color w:val="000000"/>
                      <w:sz w:val="20"/>
                      <w:szCs w:val="28"/>
                    </w:rPr>
                    <w:t>20%</w:t>
                  </w:r>
                </w:p>
              </w:tc>
            </w:tr>
            <w:tr w14:paraId="588C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1" w:hRule="atLeast"/>
              </w:trPr>
              <w:tc>
                <w:tcPr>
                  <w:tcW w:w="1501" w:type="dxa"/>
                  <w:tcBorders>
                    <w:top w:val="single" w:color="auto" w:sz="4" w:space="0"/>
                    <w:left w:val="single" w:color="auto" w:sz="4" w:space="0"/>
                    <w:bottom w:val="single" w:color="auto" w:sz="4" w:space="0"/>
                    <w:right w:val="single" w:color="auto" w:sz="4" w:space="0"/>
                  </w:tcBorders>
                  <w:vAlign w:val="center"/>
                </w:tcPr>
                <w:p w14:paraId="2B9111A2">
                  <w:pPr>
                    <w:snapToGrid w:val="0"/>
                    <w:spacing w:before="62" w:after="62" w:line="240" w:lineRule="auto"/>
                    <w:ind w:firstLine="0" w:firstLineChars="0"/>
                    <w:jc w:val="center"/>
                    <w:rPr>
                      <w:rFonts w:hint="eastAsia" w:ascii="仿宋" w:hAnsi="仿宋" w:eastAsia="仿宋" w:cs="仿宋"/>
                      <w:color w:val="000000"/>
                      <w:sz w:val="20"/>
                      <w:szCs w:val="28"/>
                    </w:rPr>
                  </w:pPr>
                  <w:r>
                    <w:rPr>
                      <w:rFonts w:hint="eastAsia" w:ascii="仿宋" w:hAnsi="仿宋" w:eastAsia="仿宋" w:cs="仿宋"/>
                      <w:color w:val="000000"/>
                      <w:sz w:val="20"/>
                      <w:szCs w:val="28"/>
                    </w:rPr>
                    <w:t>应用价值</w:t>
                  </w:r>
                </w:p>
              </w:tc>
              <w:tc>
                <w:tcPr>
                  <w:tcW w:w="6120" w:type="dxa"/>
                  <w:tcBorders>
                    <w:top w:val="single" w:color="auto" w:sz="4" w:space="0"/>
                    <w:left w:val="single" w:color="auto" w:sz="4" w:space="0"/>
                    <w:bottom w:val="single" w:color="auto" w:sz="4" w:space="0"/>
                    <w:right w:val="single" w:color="auto" w:sz="4" w:space="0"/>
                  </w:tcBorders>
                  <w:vAlign w:val="center"/>
                </w:tcPr>
                <w:p w14:paraId="775E4FA3">
                  <w:pPr>
                    <w:widowControl/>
                    <w:spacing w:before="62" w:after="62" w:line="240" w:lineRule="auto"/>
                    <w:ind w:firstLine="400"/>
                    <w:jc w:val="left"/>
                    <w:rPr>
                      <w:rFonts w:hint="eastAsia" w:ascii="仿宋" w:hAnsi="仿宋" w:eastAsia="仿宋" w:cs="仿宋"/>
                      <w:sz w:val="20"/>
                    </w:rPr>
                  </w:pPr>
                  <w:r>
                    <w:rPr>
                      <w:rFonts w:hint="eastAsia" w:ascii="仿宋" w:hAnsi="仿宋" w:eastAsia="仿宋" w:cs="仿宋"/>
                      <w:color w:val="000000"/>
                      <w:kern w:val="0"/>
                      <w:sz w:val="20"/>
                      <w:lang w:bidi="ar"/>
                    </w:rPr>
                    <w:t>1、解决方案可直接应用于实践，有效解决生产、生活中的实际问题，契合产业转型升级、区域经济社会发展、乡村振兴、促进高质量就业等国家战略需求。</w:t>
                  </w:r>
                </w:p>
                <w:p w14:paraId="78220D9B">
                  <w:pPr>
                    <w:widowControl/>
                    <w:spacing w:before="62" w:after="62" w:line="240" w:lineRule="auto"/>
                    <w:ind w:firstLine="400"/>
                    <w:jc w:val="left"/>
                    <w:rPr>
                      <w:rFonts w:hint="eastAsia" w:ascii="仿宋" w:hAnsi="仿宋" w:eastAsia="仿宋" w:cs="仿宋"/>
                      <w:sz w:val="20"/>
                    </w:rPr>
                  </w:pPr>
                  <w:r>
                    <w:rPr>
                      <w:rFonts w:hint="eastAsia" w:ascii="仿宋" w:hAnsi="仿宋" w:eastAsia="仿宋" w:cs="仿宋"/>
                      <w:color w:val="000000"/>
                      <w:kern w:val="0"/>
                      <w:sz w:val="20"/>
                      <w:lang w:bidi="ar"/>
                    </w:rPr>
                    <w:t>2、资源利用合理，体现高效益、高质量。</w:t>
                  </w:r>
                </w:p>
                <w:p w14:paraId="4D70FB01">
                  <w:pPr>
                    <w:widowControl/>
                    <w:spacing w:before="62" w:after="62" w:line="240" w:lineRule="auto"/>
                    <w:ind w:firstLine="400"/>
                    <w:jc w:val="left"/>
                    <w:rPr>
                      <w:rFonts w:hint="eastAsia" w:ascii="仿宋" w:hAnsi="仿宋" w:eastAsia="仿宋" w:cs="仿宋"/>
                      <w:color w:val="000000"/>
                      <w:sz w:val="20"/>
                      <w:szCs w:val="28"/>
                    </w:rPr>
                  </w:pPr>
                  <w:r>
                    <w:rPr>
                      <w:rFonts w:hint="eastAsia" w:ascii="仿宋" w:hAnsi="仿宋" w:eastAsia="仿宋" w:cs="仿宋"/>
                      <w:color w:val="000000"/>
                      <w:kern w:val="0"/>
                      <w:sz w:val="20"/>
                      <w:lang w:bidi="ar"/>
                    </w:rPr>
                    <w:t>3、具有良好环保意识，绿色低碳，符合产业未来发展方向。</w:t>
                  </w:r>
                </w:p>
              </w:tc>
              <w:tc>
                <w:tcPr>
                  <w:tcW w:w="901" w:type="dxa"/>
                  <w:tcBorders>
                    <w:top w:val="single" w:color="auto" w:sz="4" w:space="0"/>
                    <w:left w:val="single" w:color="auto" w:sz="4" w:space="0"/>
                    <w:bottom w:val="single" w:color="auto" w:sz="4" w:space="0"/>
                    <w:right w:val="single" w:color="auto" w:sz="4" w:space="0"/>
                  </w:tcBorders>
                  <w:vAlign w:val="center"/>
                </w:tcPr>
                <w:p w14:paraId="025A2D68">
                  <w:pPr>
                    <w:snapToGrid w:val="0"/>
                    <w:spacing w:before="62" w:after="62" w:line="240" w:lineRule="auto"/>
                    <w:ind w:firstLine="0" w:firstLineChars="0"/>
                    <w:jc w:val="center"/>
                    <w:rPr>
                      <w:rFonts w:hint="eastAsia" w:ascii="仿宋" w:hAnsi="仿宋" w:eastAsia="仿宋" w:cs="仿宋"/>
                      <w:color w:val="000000"/>
                      <w:sz w:val="20"/>
                      <w:szCs w:val="28"/>
                    </w:rPr>
                  </w:pPr>
                  <w:r>
                    <w:rPr>
                      <w:rFonts w:hint="eastAsia" w:ascii="仿宋" w:hAnsi="仿宋" w:eastAsia="仿宋" w:cs="仿宋"/>
                      <w:color w:val="000000"/>
                      <w:sz w:val="20"/>
                      <w:szCs w:val="28"/>
                    </w:rPr>
                    <w:t>20%</w:t>
                  </w:r>
                </w:p>
              </w:tc>
            </w:tr>
            <w:tr w14:paraId="0D920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1" w:hRule="atLeast"/>
              </w:trPr>
              <w:tc>
                <w:tcPr>
                  <w:tcW w:w="1501" w:type="dxa"/>
                  <w:tcBorders>
                    <w:top w:val="single" w:color="auto" w:sz="4" w:space="0"/>
                    <w:left w:val="single" w:color="auto" w:sz="4" w:space="0"/>
                    <w:bottom w:val="single" w:color="auto" w:sz="4" w:space="0"/>
                    <w:right w:val="single" w:color="auto" w:sz="4" w:space="0"/>
                  </w:tcBorders>
                  <w:vAlign w:val="center"/>
                </w:tcPr>
                <w:p w14:paraId="28AF1355">
                  <w:pPr>
                    <w:snapToGrid w:val="0"/>
                    <w:spacing w:before="62" w:after="62" w:line="240" w:lineRule="auto"/>
                    <w:ind w:firstLine="0" w:firstLineChars="0"/>
                    <w:jc w:val="center"/>
                    <w:rPr>
                      <w:rFonts w:hint="eastAsia" w:ascii="仿宋" w:hAnsi="仿宋" w:eastAsia="仿宋" w:cs="仿宋"/>
                      <w:color w:val="000000"/>
                      <w:sz w:val="20"/>
                      <w:szCs w:val="28"/>
                    </w:rPr>
                  </w:pPr>
                  <w:r>
                    <w:rPr>
                      <w:rFonts w:hint="eastAsia" w:ascii="仿宋" w:hAnsi="仿宋" w:eastAsia="仿宋" w:cs="仿宋"/>
                      <w:color w:val="000000"/>
                      <w:sz w:val="20"/>
                      <w:szCs w:val="28"/>
                    </w:rPr>
                    <w:t>团队合作</w:t>
                  </w:r>
                </w:p>
              </w:tc>
              <w:tc>
                <w:tcPr>
                  <w:tcW w:w="6120" w:type="dxa"/>
                  <w:tcBorders>
                    <w:top w:val="single" w:color="auto" w:sz="4" w:space="0"/>
                    <w:left w:val="single" w:color="auto" w:sz="4" w:space="0"/>
                    <w:bottom w:val="single" w:color="auto" w:sz="4" w:space="0"/>
                    <w:right w:val="single" w:color="auto" w:sz="4" w:space="0"/>
                  </w:tcBorders>
                  <w:vAlign w:val="center"/>
                </w:tcPr>
                <w:p w14:paraId="5F8559C0">
                  <w:pPr>
                    <w:widowControl/>
                    <w:spacing w:before="62" w:after="62" w:line="240" w:lineRule="auto"/>
                    <w:ind w:firstLine="400"/>
                    <w:jc w:val="left"/>
                    <w:rPr>
                      <w:rFonts w:hint="eastAsia" w:ascii="仿宋" w:hAnsi="仿宋" w:eastAsia="仿宋" w:cs="仿宋"/>
                      <w:sz w:val="20"/>
                    </w:rPr>
                  </w:pPr>
                  <w:r>
                    <w:rPr>
                      <w:rFonts w:hint="eastAsia" w:ascii="仿宋" w:hAnsi="仿宋" w:eastAsia="仿宋" w:cs="仿宋"/>
                      <w:color w:val="000000"/>
                      <w:kern w:val="0"/>
                      <w:sz w:val="20"/>
                      <w:lang w:bidi="ar"/>
                    </w:rPr>
                    <w:t>1、团队成员能够准确理解共同目标和任务，清楚自己的角色定位和职责，团队成员相互尊重、信任和支持，拥有良好的团队氛围。</w:t>
                  </w:r>
                </w:p>
                <w:p w14:paraId="19D10B98">
                  <w:pPr>
                    <w:widowControl/>
                    <w:spacing w:before="62" w:after="62" w:line="240" w:lineRule="auto"/>
                    <w:ind w:firstLine="400"/>
                    <w:jc w:val="left"/>
                    <w:rPr>
                      <w:rFonts w:hint="eastAsia" w:ascii="仿宋" w:hAnsi="仿宋" w:eastAsia="仿宋" w:cs="仿宋"/>
                      <w:color w:val="000000"/>
                      <w:sz w:val="20"/>
                      <w:szCs w:val="28"/>
                    </w:rPr>
                  </w:pPr>
                  <w:r>
                    <w:rPr>
                      <w:rFonts w:hint="eastAsia" w:ascii="仿宋" w:hAnsi="仿宋" w:eastAsia="仿宋" w:cs="仿宋"/>
                      <w:color w:val="000000"/>
                      <w:kern w:val="0"/>
                      <w:sz w:val="20"/>
                      <w:lang w:bidi="ar"/>
                    </w:rPr>
                    <w:t>2、团队成员在比赛中能够有效沟通、紧密协作，能够相互补台，共同应对突发情况。</w:t>
                  </w:r>
                </w:p>
              </w:tc>
              <w:tc>
                <w:tcPr>
                  <w:tcW w:w="901" w:type="dxa"/>
                  <w:tcBorders>
                    <w:top w:val="single" w:color="auto" w:sz="4" w:space="0"/>
                    <w:left w:val="single" w:color="auto" w:sz="4" w:space="0"/>
                    <w:bottom w:val="single" w:color="auto" w:sz="4" w:space="0"/>
                    <w:right w:val="single" w:color="auto" w:sz="4" w:space="0"/>
                  </w:tcBorders>
                  <w:vAlign w:val="center"/>
                </w:tcPr>
                <w:p w14:paraId="03B68ED4">
                  <w:pPr>
                    <w:snapToGrid w:val="0"/>
                    <w:spacing w:before="62" w:after="62" w:line="240" w:lineRule="auto"/>
                    <w:ind w:firstLine="0" w:firstLineChars="0"/>
                    <w:jc w:val="center"/>
                    <w:rPr>
                      <w:rFonts w:hint="eastAsia" w:ascii="仿宋" w:hAnsi="仿宋" w:eastAsia="仿宋" w:cs="仿宋"/>
                      <w:color w:val="000000"/>
                      <w:sz w:val="20"/>
                      <w:szCs w:val="28"/>
                    </w:rPr>
                  </w:pPr>
                  <w:r>
                    <w:rPr>
                      <w:rFonts w:hint="eastAsia" w:ascii="仿宋" w:hAnsi="仿宋" w:eastAsia="仿宋" w:cs="仿宋"/>
                      <w:color w:val="000000"/>
                      <w:sz w:val="20"/>
                      <w:szCs w:val="28"/>
                    </w:rPr>
                    <w:t>20%</w:t>
                  </w:r>
                </w:p>
              </w:tc>
            </w:tr>
            <w:tr w14:paraId="71DB3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1" w:hRule="atLeast"/>
              </w:trPr>
              <w:tc>
                <w:tcPr>
                  <w:tcW w:w="1501" w:type="dxa"/>
                  <w:tcBorders>
                    <w:top w:val="single" w:color="auto" w:sz="4" w:space="0"/>
                    <w:left w:val="single" w:color="auto" w:sz="4" w:space="0"/>
                    <w:bottom w:val="single" w:color="auto" w:sz="4" w:space="0"/>
                    <w:right w:val="single" w:color="auto" w:sz="4" w:space="0"/>
                  </w:tcBorders>
                  <w:vAlign w:val="center"/>
                </w:tcPr>
                <w:p w14:paraId="375128CD">
                  <w:pPr>
                    <w:snapToGrid w:val="0"/>
                    <w:spacing w:before="62" w:after="62" w:line="240" w:lineRule="auto"/>
                    <w:ind w:firstLine="0" w:firstLineChars="0"/>
                    <w:jc w:val="center"/>
                    <w:rPr>
                      <w:rFonts w:hint="eastAsia" w:ascii="仿宋" w:hAnsi="仿宋" w:eastAsia="仿宋" w:cs="仿宋"/>
                      <w:color w:val="000000"/>
                      <w:sz w:val="20"/>
                      <w:szCs w:val="28"/>
                    </w:rPr>
                  </w:pPr>
                  <w:r>
                    <w:rPr>
                      <w:rFonts w:hint="eastAsia" w:ascii="仿宋" w:hAnsi="仿宋" w:eastAsia="仿宋" w:cs="仿宋"/>
                      <w:color w:val="000000"/>
                      <w:sz w:val="20"/>
                      <w:szCs w:val="28"/>
                    </w:rPr>
                    <w:t>创新创意</w:t>
                  </w:r>
                </w:p>
              </w:tc>
              <w:tc>
                <w:tcPr>
                  <w:tcW w:w="6120" w:type="dxa"/>
                  <w:tcBorders>
                    <w:top w:val="single" w:color="auto" w:sz="4" w:space="0"/>
                    <w:left w:val="single" w:color="auto" w:sz="4" w:space="0"/>
                    <w:bottom w:val="single" w:color="auto" w:sz="4" w:space="0"/>
                    <w:right w:val="single" w:color="auto" w:sz="4" w:space="0"/>
                  </w:tcBorders>
                  <w:vAlign w:val="center"/>
                </w:tcPr>
                <w:p w14:paraId="3F970542">
                  <w:pPr>
                    <w:widowControl/>
                    <w:spacing w:before="62" w:after="62" w:line="240" w:lineRule="auto"/>
                    <w:ind w:firstLine="400"/>
                    <w:jc w:val="left"/>
                    <w:rPr>
                      <w:rFonts w:hint="eastAsia" w:ascii="仿宋" w:hAnsi="仿宋" w:eastAsia="仿宋" w:cs="仿宋"/>
                      <w:sz w:val="20"/>
                    </w:rPr>
                  </w:pPr>
                  <w:r>
                    <w:rPr>
                      <w:rFonts w:hint="eastAsia" w:ascii="仿宋" w:hAnsi="仿宋" w:eastAsia="仿宋" w:cs="仿宋"/>
                      <w:color w:val="000000"/>
                      <w:kern w:val="0"/>
                      <w:sz w:val="20"/>
                      <w:lang w:bidi="ar"/>
                    </w:rPr>
                    <w:t>1、体现原始创意、创新和团队成员创新精神、创新能力。</w:t>
                  </w:r>
                </w:p>
                <w:p w14:paraId="1FB18514">
                  <w:pPr>
                    <w:widowControl/>
                    <w:spacing w:before="62" w:after="62" w:line="240" w:lineRule="auto"/>
                    <w:ind w:firstLine="400"/>
                    <w:jc w:val="left"/>
                    <w:rPr>
                      <w:rFonts w:hint="eastAsia" w:ascii="仿宋" w:hAnsi="仿宋" w:eastAsia="仿宋" w:cs="仿宋"/>
                      <w:color w:val="000000"/>
                      <w:sz w:val="20"/>
                      <w:szCs w:val="28"/>
                    </w:rPr>
                  </w:pPr>
                  <w:r>
                    <w:rPr>
                      <w:rFonts w:hint="eastAsia" w:ascii="仿宋" w:hAnsi="仿宋" w:eastAsia="仿宋" w:cs="仿宋"/>
                      <w:color w:val="000000"/>
                      <w:kern w:val="0"/>
                      <w:sz w:val="20"/>
                      <w:lang w:bidi="ar"/>
                    </w:rPr>
                    <w:t>2、在要素整合、新技术应用、工艺流程改进、服务模式优化等方面具有原创性，侧重加工工艺创新、实用技术创新、产品（技术）数字化改良、应用性优化、民生类创意等</w:t>
                  </w:r>
                </w:p>
              </w:tc>
              <w:tc>
                <w:tcPr>
                  <w:tcW w:w="901" w:type="dxa"/>
                  <w:tcBorders>
                    <w:top w:val="single" w:color="auto" w:sz="4" w:space="0"/>
                    <w:left w:val="single" w:color="auto" w:sz="4" w:space="0"/>
                    <w:bottom w:val="single" w:color="auto" w:sz="4" w:space="0"/>
                    <w:right w:val="single" w:color="auto" w:sz="4" w:space="0"/>
                  </w:tcBorders>
                  <w:vAlign w:val="center"/>
                </w:tcPr>
                <w:p w14:paraId="784B0A68">
                  <w:pPr>
                    <w:snapToGrid w:val="0"/>
                    <w:spacing w:before="62" w:after="62" w:line="240" w:lineRule="auto"/>
                    <w:ind w:firstLine="0" w:firstLineChars="0"/>
                    <w:jc w:val="center"/>
                    <w:rPr>
                      <w:rFonts w:hint="eastAsia" w:ascii="仿宋" w:hAnsi="仿宋" w:eastAsia="仿宋" w:cs="仿宋"/>
                      <w:color w:val="000000"/>
                      <w:sz w:val="20"/>
                      <w:szCs w:val="28"/>
                    </w:rPr>
                  </w:pPr>
                  <w:r>
                    <w:rPr>
                      <w:rFonts w:hint="eastAsia" w:ascii="仿宋" w:hAnsi="仿宋" w:eastAsia="仿宋" w:cs="仿宋"/>
                      <w:color w:val="000000"/>
                      <w:sz w:val="20"/>
                      <w:szCs w:val="28"/>
                    </w:rPr>
                    <w:t>20%</w:t>
                  </w:r>
                </w:p>
              </w:tc>
            </w:tr>
          </w:tbl>
          <w:p w14:paraId="01BA9367">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（二）评判方式</w:t>
            </w:r>
          </w:p>
          <w:p w14:paraId="6DB5804D">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裁判组在竞赛规定的结束时间后，分组对参赛队伍进行考评，“技能操作”部分每组裁判3名及以上，“展示讲解”部分每组裁判5名及以上（裁判人数为单数）。裁判员每人有一份评分表，裁判员按照评分表中要求安装设备和提交结果按照评分表中标准进行打分评判。</w:t>
            </w:r>
          </w:p>
          <w:p w14:paraId="6707F86B">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（三）评分方法</w:t>
            </w:r>
          </w:p>
          <w:p w14:paraId="37D207C0">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1.组织与分工</w:t>
            </w:r>
          </w:p>
          <w:p w14:paraId="0F80134A">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（1）参与大赛赛项成绩管理的组织机构包括裁判组、监督仲裁组，受赛项执委会领导。</w:t>
            </w:r>
          </w:p>
          <w:p w14:paraId="3F70BCBF">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（2）</w:t>
            </w:r>
            <w:r>
              <w:rPr>
                <w:rFonts w:hint="eastAsia" w:ascii="仿宋" w:hAnsi="仿宋" w:eastAsia="仿宋"/>
                <w:sz w:val="24"/>
              </w:rPr>
              <w:t>裁判组实行“裁判长负责制”，设裁判长1名，全面负责赛项的裁判管理工作并处理比赛中出现的争议问题，并配裁判员若干名，负责协助裁判长工作</w:t>
            </w:r>
            <w:r>
              <w:rPr>
                <w:rFonts w:hint="eastAsia" w:ascii="仿宋" w:hAnsi="仿宋" w:eastAsia="仿宋" w:cs="Arial"/>
                <w:sz w:val="24"/>
                <w:szCs w:val="30"/>
              </w:rPr>
              <w:t>。</w:t>
            </w:r>
          </w:p>
          <w:p w14:paraId="6305D46F">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（3）</w:t>
            </w:r>
            <w:r>
              <w:rPr>
                <w:rFonts w:hint="eastAsia" w:ascii="仿宋" w:hAnsi="仿宋" w:eastAsia="仿宋"/>
                <w:sz w:val="24"/>
              </w:rPr>
              <w:t>裁判员根据比赛需要分为检录裁判、加密裁判、现场裁判和评分裁判。</w:t>
            </w:r>
            <w:r>
              <w:rPr>
                <w:rFonts w:hint="eastAsia" w:ascii="仿宋" w:hAnsi="仿宋" w:eastAsia="仿宋" w:cs="Arial"/>
                <w:sz w:val="24"/>
                <w:szCs w:val="30"/>
              </w:rPr>
              <w:t>检录工作人员负责对参赛队伍（选手）进行点名登记、身份核对等工作；加密裁判负责组织参赛队伍（选手）抽签，对参赛队信息、抽签代码等进行加密、解密工作；现场裁判按规定做好赛场记录，维护赛场纪律；评分裁判负责对参赛队伍（选手）的比赛作品、比赛表现按赛项评分标准进行评定。</w:t>
            </w:r>
          </w:p>
          <w:p w14:paraId="71B3997C">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（4）</w:t>
            </w:r>
            <w:r>
              <w:rPr>
                <w:rFonts w:hint="eastAsia" w:ascii="仿宋" w:hAnsi="仿宋" w:eastAsia="仿宋" w:cs="Arial"/>
                <w:sz w:val="24"/>
              </w:rPr>
              <w:t>监督仲裁</w:t>
            </w:r>
            <w:r>
              <w:rPr>
                <w:rFonts w:hint="eastAsia" w:ascii="仿宋" w:hAnsi="仿宋" w:eastAsia="仿宋" w:cs="Arial"/>
                <w:sz w:val="24"/>
                <w:szCs w:val="30"/>
              </w:rPr>
              <w:t>组对裁判组的工作进行全程监督，并对竞赛成绩抽检复核。</w:t>
            </w:r>
          </w:p>
          <w:p w14:paraId="12143138">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（5）</w:t>
            </w:r>
            <w:r>
              <w:rPr>
                <w:rFonts w:hint="eastAsia" w:ascii="仿宋" w:hAnsi="仿宋" w:eastAsia="仿宋" w:cs="Arial"/>
                <w:sz w:val="24"/>
              </w:rPr>
              <w:t>监督仲裁</w:t>
            </w:r>
            <w:r>
              <w:rPr>
                <w:rFonts w:hint="eastAsia" w:ascii="仿宋" w:hAnsi="仿宋" w:eastAsia="仿宋" w:cs="Arial"/>
                <w:sz w:val="24"/>
                <w:szCs w:val="30"/>
              </w:rPr>
              <w:t>组负责接受由参赛队领队提出的对竞赛过程的申诉，组织复议并及时反馈复议结果。</w:t>
            </w:r>
          </w:p>
          <w:p w14:paraId="2BB0FEE5">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2.成绩评定方法</w:t>
            </w:r>
          </w:p>
          <w:p w14:paraId="402F70F5">
            <w:pPr>
              <w:spacing w:before="62" w:after="62" w:line="360" w:lineRule="auto"/>
              <w:ind w:firstLine="480"/>
              <w:rPr>
                <w:rFonts w:hint="eastAsia" w:ascii="仿宋" w:hAnsi="仿宋" w:eastAsia="仿宋"/>
                <w:sz w:val="24"/>
              </w:rPr>
            </w:pPr>
            <w:r>
              <w:rPr>
                <w:rFonts w:hint="eastAsia" w:ascii="仿宋" w:hAnsi="仿宋" w:eastAsia="仿宋"/>
                <w:sz w:val="24"/>
              </w:rPr>
              <w:t>成绩评定是根据竞赛考核目标、内容对参赛队或选手在竞赛过程中的表现和最终成果做出评价，本赛项的评分方法分结果评分。结果评分是对参赛选手提交的竞赛成果和作答卷，依据赛项评价标准进行评价评分。所有的评分表、成绩汇总表备案以供核查，最终的成绩由裁判长进行审核确认并上报大赛组委会。</w:t>
            </w:r>
          </w:p>
          <w:p w14:paraId="770D31B4">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3.成绩解密</w:t>
            </w:r>
          </w:p>
          <w:p w14:paraId="5038CA44">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裁判长正式提交赛位（竞赛作品）评分结果并复核无误后，加密裁判在</w:t>
            </w:r>
            <w:r>
              <w:rPr>
                <w:rFonts w:hint="eastAsia" w:ascii="仿宋" w:hAnsi="仿宋" w:eastAsia="仿宋" w:cs="Arial"/>
                <w:sz w:val="24"/>
              </w:rPr>
              <w:t>监督仲裁</w:t>
            </w:r>
            <w:r>
              <w:rPr>
                <w:rFonts w:hint="eastAsia" w:ascii="仿宋" w:hAnsi="仿宋" w:eastAsia="仿宋" w:cs="Arial"/>
                <w:sz w:val="24"/>
                <w:szCs w:val="30"/>
              </w:rPr>
              <w:t>组人员监督下对加密结果进行逐层解密。</w:t>
            </w:r>
          </w:p>
          <w:p w14:paraId="2DB4608E">
            <w:pPr>
              <w:snapToGrid w:val="0"/>
              <w:spacing w:before="62" w:after="62" w:line="560" w:lineRule="exact"/>
              <w:ind w:firstLine="480"/>
              <w:rPr>
                <w:rFonts w:hint="eastAsia" w:ascii="仿宋" w:hAnsi="仿宋" w:eastAsia="仿宋" w:cs="Arial"/>
                <w:sz w:val="24"/>
                <w:szCs w:val="30"/>
              </w:rPr>
            </w:pPr>
            <w:r>
              <w:rPr>
                <w:rFonts w:hint="eastAsia" w:ascii="仿宋" w:hAnsi="仿宋" w:eastAsia="仿宋" w:cs="Arial"/>
                <w:sz w:val="24"/>
                <w:szCs w:val="30"/>
              </w:rPr>
              <w:t>4.成绩公布</w:t>
            </w:r>
          </w:p>
          <w:p w14:paraId="7BE8F6DB">
            <w:pPr>
              <w:spacing w:before="62" w:after="62"/>
              <w:ind w:firstLine="480"/>
              <w:rPr>
                <w:rFonts w:hint="eastAsia" w:ascii="仿宋" w:hAnsi="仿宋" w:eastAsia="仿宋" w:cs="Arial"/>
                <w:b/>
                <w:color w:val="000000"/>
                <w:sz w:val="22"/>
                <w:szCs w:val="24"/>
              </w:rPr>
            </w:pPr>
            <w:r>
              <w:rPr>
                <w:rFonts w:hint="eastAsia" w:ascii="仿宋" w:hAnsi="仿宋" w:eastAsia="仿宋"/>
                <w:sz w:val="24"/>
              </w:rPr>
              <w:t>赛项成绩在赛项结束后由赛项组委会负责公布最终成绩。任何组织和个人，不得擅自对大赛成绩进行涂改、伪造或用于欺诈等违法犯罪活动、如需使用大赛成绩，应报赛项执委会审批。</w:t>
            </w:r>
          </w:p>
        </w:tc>
      </w:tr>
    </w:tbl>
    <w:p w14:paraId="1A5ED1F3">
      <w:pPr>
        <w:snapToGrid w:val="0"/>
        <w:spacing w:before="62" w:after="62" w:line="560" w:lineRule="exact"/>
        <w:ind w:firstLine="0" w:firstLineChars="0"/>
        <w:rPr>
          <w:sz w:val="30"/>
          <w:szCs w:val="30"/>
        </w:rPr>
      </w:pPr>
    </w:p>
    <w:p w14:paraId="42A91E03">
      <w:pPr>
        <w:snapToGrid w:val="0"/>
        <w:spacing w:before="62" w:after="62" w:line="560" w:lineRule="exact"/>
        <w:ind w:firstLine="0" w:firstLineChars="0"/>
        <w:rPr>
          <w:sz w:val="30"/>
          <w:szCs w:val="30"/>
        </w:rPr>
      </w:pPr>
      <w:r>
        <w:rPr>
          <w:rFonts w:hint="eastAsia"/>
          <w:sz w:val="30"/>
          <w:szCs w:val="30"/>
        </w:rPr>
        <w:t>十二、奖项设置</w:t>
      </w:r>
    </w:p>
    <w:tbl>
      <w:tblPr>
        <w:tblStyle w:val="5"/>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07C7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6CF11E8C">
            <w:pPr>
              <w:snapToGrid w:val="0"/>
              <w:spacing w:before="62" w:after="62" w:line="560" w:lineRule="exact"/>
              <w:ind w:firstLine="480"/>
              <w:rPr>
                <w:rFonts w:hint="eastAsia" w:ascii="仿宋" w:hAnsi="仿宋" w:eastAsia="仿宋"/>
                <w:sz w:val="24"/>
              </w:rPr>
            </w:pPr>
            <w:r>
              <w:rPr>
                <w:rFonts w:hint="eastAsia" w:ascii="仿宋" w:hAnsi="仿宋" w:eastAsia="仿宋"/>
                <w:sz w:val="24"/>
              </w:rPr>
              <w:t>本赛项的奖项设团队奖。</w:t>
            </w:r>
          </w:p>
          <w:p w14:paraId="792DC94E">
            <w:pPr>
              <w:snapToGrid w:val="0"/>
              <w:spacing w:before="62" w:after="62" w:line="560" w:lineRule="exact"/>
              <w:ind w:firstLine="480"/>
              <w:rPr>
                <w:rFonts w:hint="eastAsia" w:ascii="仿宋" w:hAnsi="仿宋" w:eastAsia="仿宋"/>
                <w:sz w:val="24"/>
              </w:rPr>
            </w:pPr>
            <w:r>
              <w:rPr>
                <w:rFonts w:hint="eastAsia" w:ascii="仿宋" w:hAnsi="仿宋" w:eastAsia="仿宋"/>
                <w:sz w:val="24"/>
              </w:rPr>
              <w:t xml:space="preserve">设奖比例为：以赛项实际参赛队总数为基数（以初赛参赛队总数），一、二、三等奖获奖比例分别为 10%、20%、30%（小数点后四舍五入）。 </w:t>
            </w:r>
          </w:p>
          <w:p w14:paraId="6C90BDA1">
            <w:pPr>
              <w:snapToGrid w:val="0"/>
              <w:spacing w:before="62" w:after="62" w:line="560" w:lineRule="exact"/>
              <w:ind w:firstLine="480"/>
              <w:rPr>
                <w:rFonts w:hint="eastAsia" w:ascii="仿宋" w:hAnsi="仿宋" w:eastAsia="仿宋"/>
                <w:sz w:val="24"/>
              </w:rPr>
            </w:pPr>
            <w:r>
              <w:rPr>
                <w:rFonts w:hint="eastAsia" w:ascii="仿宋" w:hAnsi="仿宋" w:eastAsia="仿宋"/>
                <w:sz w:val="24"/>
              </w:rPr>
              <w:t>如出现参赛队总分相同情况，按照“技能操作”、“展示讲解”的顺序得分高低排序，即总成绩相同情况下比较“技能操作”成绩，“技能操作”成绩搞的排名优先，如果 “技能操作”成绩也相同，则按 “展示讲解”的成绩进行排名。如果还不能区分成绩排名，则按照“技能操作”内A、B、C模块顺序的得分高低排序，即比较A模块的成绩，A模块成绩高的排名优先，如果A模块成绩也相同，则按B模块的成绩进行排名，以此类推完成相同成绩的排序。如果A、B、C各模块分值均相同，则根据D模块按“技能水平”、“职业素养”、“应用价值”、“团队合作”、“创新创意”的分值由高到低进行排序。</w:t>
            </w:r>
          </w:p>
        </w:tc>
      </w:tr>
    </w:tbl>
    <w:p w14:paraId="1327845E">
      <w:pPr>
        <w:snapToGrid w:val="0"/>
        <w:spacing w:before="62" w:after="62" w:line="560" w:lineRule="exact"/>
        <w:ind w:firstLine="0" w:firstLineChars="0"/>
        <w:rPr>
          <w:sz w:val="30"/>
          <w:szCs w:val="30"/>
        </w:rPr>
      </w:pPr>
    </w:p>
    <w:p w14:paraId="6E0DB6F4">
      <w:pPr>
        <w:pageBreakBefore/>
        <w:snapToGrid w:val="0"/>
        <w:spacing w:before="62" w:after="62" w:line="560" w:lineRule="exact"/>
        <w:ind w:firstLine="0" w:firstLineChars="0"/>
        <w:rPr>
          <w:sz w:val="30"/>
          <w:szCs w:val="30"/>
        </w:rPr>
      </w:pPr>
      <w:r>
        <w:rPr>
          <w:rFonts w:hint="eastAsia"/>
          <w:sz w:val="30"/>
          <w:szCs w:val="30"/>
        </w:rPr>
        <w:t>十三、赛项预案</w:t>
      </w:r>
    </w:p>
    <w:tbl>
      <w:tblPr>
        <w:tblStyle w:val="5"/>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14:paraId="79C7E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trPr>
        <w:tc>
          <w:tcPr>
            <w:tcW w:w="8319" w:type="dxa"/>
          </w:tcPr>
          <w:p w14:paraId="1F30A04F">
            <w:pPr>
              <w:widowControl/>
              <w:spacing w:before="62" w:after="62" w:line="560" w:lineRule="exact"/>
              <w:ind w:firstLine="480"/>
              <w:jc w:val="left"/>
              <w:rPr>
                <w:rFonts w:hint="eastAsia" w:ascii="仿宋" w:hAnsi="仿宋" w:eastAsia="仿宋"/>
                <w:sz w:val="24"/>
              </w:rPr>
            </w:pPr>
            <w:r>
              <w:rPr>
                <w:rFonts w:hint="eastAsia" w:ascii="仿宋" w:hAnsi="仿宋" w:eastAsia="仿宋"/>
                <w:sz w:val="24"/>
              </w:rPr>
              <w:t>按照云南省职业院校技能大赛相关制度执行。</w:t>
            </w:r>
          </w:p>
          <w:p w14:paraId="2782BF4E">
            <w:pPr>
              <w:spacing w:before="62" w:after="62" w:line="560" w:lineRule="exact"/>
              <w:ind w:firstLine="480"/>
              <w:rPr>
                <w:rFonts w:hint="eastAsia" w:ascii="仿宋" w:hAnsi="仿宋" w:eastAsia="仿宋"/>
                <w:sz w:val="24"/>
              </w:rPr>
            </w:pPr>
            <w:r>
              <w:rPr>
                <w:rFonts w:hint="eastAsia" w:ascii="仿宋" w:hAnsi="仿宋" w:eastAsia="仿宋"/>
                <w:sz w:val="24"/>
              </w:rPr>
              <w:t>1.竞赛软硬件环境和电脑在比赛前进行压力测试，验证功能正常。竞赛现场准备有1-2套完整的竞赛环境，保证在出现非选手原因的损坏时，经现场裁判认定，裁判长确认后，由赛场技术支持人员予以及时更换。</w:t>
            </w:r>
          </w:p>
          <w:p w14:paraId="5DF1ED8C">
            <w:pPr>
              <w:spacing w:before="62" w:after="62" w:line="560" w:lineRule="exact"/>
              <w:ind w:firstLine="480"/>
              <w:rPr>
                <w:rFonts w:hint="eastAsia" w:ascii="仿宋" w:hAnsi="仿宋" w:eastAsia="仿宋"/>
                <w:sz w:val="24"/>
              </w:rPr>
            </w:pPr>
            <w:r>
              <w:rPr>
                <w:rFonts w:hint="eastAsia" w:ascii="仿宋" w:hAnsi="仿宋" w:eastAsia="仿宋"/>
                <w:sz w:val="24"/>
              </w:rPr>
              <w:t>2.竞赛过程中出现设备掉电、故障等意外时，现场裁判需及时确认情况，安排赛场技术支持人员进行处理，现场裁判登记详细情况，填写补时登记表，报裁判长批准后，可安排延长补足相应选手的比赛时间。</w:t>
            </w:r>
          </w:p>
          <w:p w14:paraId="25330860">
            <w:pPr>
              <w:spacing w:before="62" w:after="62" w:line="560" w:lineRule="exact"/>
              <w:ind w:firstLine="480"/>
              <w:rPr>
                <w:rFonts w:hint="eastAsia" w:ascii="仿宋" w:hAnsi="仿宋" w:eastAsia="仿宋"/>
                <w:sz w:val="24"/>
              </w:rPr>
            </w:pPr>
            <w:r>
              <w:rPr>
                <w:rFonts w:hint="eastAsia" w:ascii="仿宋" w:hAnsi="仿宋" w:eastAsia="仿宋"/>
                <w:sz w:val="24"/>
              </w:rPr>
              <w:t>3.比赛过程中，选手如怀疑设备问题，且有明确证据确认损坏由非选手因素造成，可向裁判提交书面说明，经技术人员判断和裁判长裁决认可，可更换设备，并由裁判长裁决是否补时和补时长度，没有明确证据确认损坏由非选手因素造成设备损坏的，不予更换设备和补时。</w:t>
            </w:r>
          </w:p>
          <w:p w14:paraId="31D50FA9">
            <w:pPr>
              <w:spacing w:before="62" w:after="62" w:line="560" w:lineRule="exact"/>
              <w:ind w:firstLine="480"/>
              <w:rPr>
                <w:rFonts w:hint="eastAsia" w:ascii="仿宋" w:hAnsi="仿宋" w:eastAsia="仿宋"/>
                <w:sz w:val="24"/>
              </w:rPr>
            </w:pPr>
            <w:r>
              <w:rPr>
                <w:rFonts w:hint="eastAsia" w:ascii="仿宋" w:hAnsi="仿宋" w:eastAsia="仿宋"/>
                <w:sz w:val="24"/>
              </w:rPr>
              <w:t>4.本赛项竞赛过程中各个竞赛工位为独立供电且各个参赛队均采用独立网络进行竞赛，如在竞赛时某赛位参赛队出现意外境况不会影响其它赛位正常比赛，不会由此对成绩产生影响。</w:t>
            </w:r>
          </w:p>
          <w:p w14:paraId="55C6967E">
            <w:pPr>
              <w:spacing w:before="62" w:after="62"/>
              <w:ind w:firstLine="480"/>
              <w:rPr>
                <w:rFonts w:hint="eastAsia" w:ascii="仿宋" w:hAnsi="仿宋" w:eastAsia="仿宋"/>
                <w:sz w:val="24"/>
              </w:rPr>
            </w:pPr>
            <w:r>
              <w:rPr>
                <w:rFonts w:hint="eastAsia" w:ascii="仿宋" w:hAnsi="仿宋" w:eastAsia="仿宋"/>
                <w:sz w:val="24"/>
              </w:rPr>
              <w:t>5.比赛期间发生大规模意外事故和安全问题，发现者应第一时间报告赛项执委会，赛项执委会应采取中止比赛、快速疏散人群等措施避免事态扩大，并第一时间报告赛项执委会。赛项出现重大安全问题可以停赛，是否停赛由赛项执委会决定。事后，赛项执委会应向上级领导部门报告详细情况。</w:t>
            </w:r>
          </w:p>
          <w:p w14:paraId="3E884048">
            <w:pPr>
              <w:spacing w:before="62" w:after="62"/>
              <w:ind w:firstLine="480"/>
              <w:rPr>
                <w:rFonts w:hint="eastAsia" w:ascii="仿宋" w:hAnsi="仿宋" w:eastAsia="仿宋"/>
                <w:sz w:val="24"/>
              </w:rPr>
            </w:pPr>
            <w:r>
              <w:rPr>
                <w:rFonts w:hint="eastAsia" w:ascii="仿宋" w:hAnsi="仿宋" w:eastAsia="仿宋"/>
                <w:sz w:val="24"/>
              </w:rPr>
              <w:t>6.比赛期间如发生特殊情况，参赛选手需保持镇静，服从现场工作人员指挥，有序撤离。</w:t>
            </w:r>
          </w:p>
          <w:p w14:paraId="0C16E233">
            <w:pPr>
              <w:spacing w:before="62" w:after="62"/>
              <w:ind w:firstLine="480"/>
              <w:rPr>
                <w:rFonts w:hint="eastAsia" w:ascii="仿宋" w:hAnsi="仿宋" w:eastAsia="仿宋"/>
                <w:sz w:val="24"/>
              </w:rPr>
            </w:pPr>
            <w:r>
              <w:rPr>
                <w:rFonts w:hint="eastAsia" w:ascii="仿宋" w:hAnsi="仿宋" w:eastAsia="仿宋"/>
                <w:sz w:val="24"/>
              </w:rPr>
              <w:t>7.安保人员发现不安全隐患及时通报。</w:t>
            </w:r>
          </w:p>
          <w:p w14:paraId="64F08269">
            <w:pPr>
              <w:spacing w:before="62" w:after="62"/>
              <w:ind w:firstLine="480"/>
              <w:rPr>
                <w:rFonts w:hint="eastAsia" w:ascii="仿宋" w:hAnsi="仿宋" w:eastAsia="仿宋"/>
                <w:sz w:val="24"/>
              </w:rPr>
            </w:pPr>
            <w:r>
              <w:rPr>
                <w:rFonts w:hint="eastAsia" w:ascii="仿宋" w:hAnsi="仿宋" w:eastAsia="仿宋"/>
                <w:sz w:val="24"/>
              </w:rPr>
              <w:t>8.竞赛现场配备医疗服务站，备有必须药品。</w:t>
            </w:r>
          </w:p>
        </w:tc>
      </w:tr>
    </w:tbl>
    <w:p w14:paraId="04C462B8">
      <w:pPr>
        <w:snapToGrid w:val="0"/>
        <w:spacing w:before="62" w:after="62" w:line="560" w:lineRule="exact"/>
        <w:ind w:firstLine="0" w:firstLineChars="0"/>
        <w:rPr>
          <w:sz w:val="30"/>
          <w:szCs w:val="30"/>
        </w:rPr>
      </w:pPr>
      <w:r>
        <w:rPr>
          <w:rFonts w:hint="eastAsia"/>
          <w:sz w:val="30"/>
          <w:szCs w:val="30"/>
        </w:rPr>
        <w:t>十四、竞赛须知</w:t>
      </w:r>
    </w:p>
    <w:tbl>
      <w:tblPr>
        <w:tblStyle w:val="5"/>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4B52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7D0BDA06">
            <w:pPr>
              <w:snapToGrid w:val="0"/>
              <w:spacing w:before="62" w:after="62" w:line="560" w:lineRule="exact"/>
              <w:ind w:firstLine="240" w:firstLineChars="100"/>
              <w:outlineLvl w:val="0"/>
              <w:rPr>
                <w:rFonts w:hint="eastAsia" w:ascii="仿宋" w:hAnsi="仿宋" w:eastAsia="仿宋"/>
                <w:sz w:val="24"/>
              </w:rPr>
            </w:pPr>
            <w:r>
              <w:rPr>
                <w:rFonts w:hint="eastAsia" w:ascii="黑体" w:hAnsi="黑体" w:eastAsia="黑体" w:cs="黑体"/>
                <w:sz w:val="24"/>
                <w:szCs w:val="24"/>
              </w:rPr>
              <w:t>（一）参赛队须知</w:t>
            </w:r>
          </w:p>
          <w:p w14:paraId="4AB80653">
            <w:pPr>
              <w:snapToGrid w:val="0"/>
              <w:spacing w:before="62" w:after="62" w:line="560" w:lineRule="exact"/>
              <w:ind w:firstLine="480"/>
              <w:rPr>
                <w:rFonts w:hint="eastAsia" w:ascii="仿宋" w:hAnsi="仿宋" w:eastAsia="仿宋"/>
                <w:sz w:val="24"/>
              </w:rPr>
            </w:pPr>
            <w:r>
              <w:rPr>
                <w:rFonts w:hint="eastAsia" w:ascii="仿宋" w:hAnsi="仿宋" w:eastAsia="仿宋"/>
                <w:sz w:val="24"/>
              </w:rPr>
              <w:t>1.参赛队应该参加赛项承办单位组织的闭赛式等各项赛事活动。</w:t>
            </w:r>
          </w:p>
          <w:p w14:paraId="10D77898">
            <w:pPr>
              <w:snapToGrid w:val="0"/>
              <w:spacing w:before="62" w:after="62" w:line="560" w:lineRule="exact"/>
              <w:ind w:firstLine="480"/>
              <w:rPr>
                <w:rFonts w:hint="eastAsia" w:ascii="仿宋" w:hAnsi="仿宋" w:eastAsia="仿宋"/>
                <w:sz w:val="24"/>
              </w:rPr>
            </w:pPr>
            <w:r>
              <w:rPr>
                <w:rFonts w:hint="eastAsia" w:ascii="仿宋" w:hAnsi="仿宋" w:eastAsia="仿宋"/>
                <w:sz w:val="24"/>
              </w:rPr>
              <w:t>2.在赛事期间，领队及参赛队其他成员不得私自接触裁判，凡发现有弄虚作假者，取消其参赛资格，成绩无效。</w:t>
            </w:r>
          </w:p>
          <w:p w14:paraId="353A1BE9">
            <w:pPr>
              <w:snapToGrid w:val="0"/>
              <w:spacing w:before="62" w:after="62" w:line="560" w:lineRule="exact"/>
              <w:ind w:firstLine="480"/>
              <w:rPr>
                <w:rFonts w:hint="eastAsia" w:ascii="仿宋" w:hAnsi="仿宋" w:eastAsia="仿宋"/>
                <w:sz w:val="24"/>
              </w:rPr>
            </w:pPr>
            <w:r>
              <w:rPr>
                <w:rFonts w:hint="eastAsia" w:ascii="仿宋" w:hAnsi="仿宋" w:eastAsia="仿宋"/>
                <w:sz w:val="24"/>
              </w:rPr>
              <w:t>3.所有参赛人员须按照赛项规程要求按照完成赛项评价工作。</w:t>
            </w:r>
          </w:p>
          <w:p w14:paraId="114D986F">
            <w:pPr>
              <w:snapToGrid w:val="0"/>
              <w:spacing w:before="62" w:after="62" w:line="560" w:lineRule="exact"/>
              <w:ind w:firstLine="480"/>
              <w:rPr>
                <w:rFonts w:hint="eastAsia" w:ascii="仿宋" w:hAnsi="仿宋" w:eastAsia="仿宋"/>
                <w:sz w:val="24"/>
              </w:rPr>
            </w:pPr>
            <w:r>
              <w:rPr>
                <w:rFonts w:hint="eastAsia" w:ascii="仿宋" w:hAnsi="仿宋" w:eastAsia="仿宋"/>
                <w:sz w:val="24"/>
              </w:rPr>
              <w:t>4.对于有碍比赛公正和比赛正常进行的参赛队，视其情节轻重，按照云南省职业院校技能大赛奖惩办法给予警告、取消比赛成绩、通报批评等处理。其中，对于比赛过程及有关活动造成重大影响的，以适当方式通告参赛院校或其所属地区的教育行政主管部门依据有关规定给予行政或纪律处分，同时停止该院校参加云南省职业院校技能大赛1年。涉及刑事犯罪的移交司法机关处理。</w:t>
            </w:r>
          </w:p>
          <w:p w14:paraId="68DD852E">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（二）指导教师须知</w:t>
            </w:r>
          </w:p>
          <w:p w14:paraId="154B3205">
            <w:pPr>
              <w:snapToGrid w:val="0"/>
              <w:spacing w:before="62" w:after="62" w:line="560" w:lineRule="exact"/>
              <w:ind w:firstLine="480"/>
              <w:rPr>
                <w:rFonts w:hint="eastAsia" w:ascii="仿宋" w:hAnsi="仿宋" w:eastAsia="仿宋"/>
                <w:sz w:val="24"/>
              </w:rPr>
            </w:pPr>
            <w:r>
              <w:rPr>
                <w:rFonts w:hint="eastAsia" w:ascii="仿宋" w:hAnsi="仿宋" w:eastAsia="仿宋"/>
                <w:sz w:val="24"/>
              </w:rPr>
              <w:t>1.指导教师应该根据专业教学计划和赛项规程合理制定训练方案，认真指导选手训练，培养选手的综合职业能力和良好的职业素养，克服功利化思想，避免为赛而学、以赛代学。</w:t>
            </w:r>
          </w:p>
          <w:p w14:paraId="00CAAA69">
            <w:pPr>
              <w:snapToGrid w:val="0"/>
              <w:spacing w:before="62" w:after="62" w:line="560" w:lineRule="exact"/>
              <w:ind w:firstLine="480"/>
              <w:rPr>
                <w:rFonts w:hint="eastAsia" w:ascii="仿宋" w:hAnsi="仿宋" w:eastAsia="仿宋"/>
                <w:sz w:val="24"/>
              </w:rPr>
            </w:pPr>
            <w:r>
              <w:rPr>
                <w:rFonts w:hint="eastAsia" w:ascii="仿宋" w:hAnsi="仿宋" w:eastAsia="仿宋"/>
                <w:sz w:val="24"/>
              </w:rPr>
              <w:t>2.指导教师应该根据赛项规程要求做好参赛选手安全工作，并积极做好选手的安全教育。</w:t>
            </w:r>
          </w:p>
          <w:p w14:paraId="79F82148">
            <w:pPr>
              <w:snapToGrid w:val="0"/>
              <w:spacing w:before="62" w:after="62" w:line="560" w:lineRule="exact"/>
              <w:ind w:firstLine="480"/>
              <w:rPr>
                <w:rFonts w:hint="eastAsia" w:ascii="仿宋" w:hAnsi="仿宋" w:eastAsia="仿宋"/>
                <w:sz w:val="24"/>
              </w:rPr>
            </w:pPr>
            <w:r>
              <w:rPr>
                <w:rFonts w:hint="eastAsia" w:ascii="仿宋" w:hAnsi="仿宋" w:eastAsia="仿宋"/>
                <w:sz w:val="24"/>
              </w:rPr>
              <w:t>3.指导教师参加赛项观摩等活动，不得违反赛项规定进入赛场，干扰比赛正常进行。</w:t>
            </w:r>
          </w:p>
          <w:p w14:paraId="3F21CEA1">
            <w:pPr>
              <w:snapToGrid w:val="0"/>
              <w:spacing w:before="62" w:after="62" w:line="560" w:lineRule="exact"/>
              <w:ind w:firstLine="240" w:firstLineChars="100"/>
              <w:outlineLvl w:val="0"/>
              <w:rPr>
                <w:rFonts w:hint="eastAsia" w:ascii="仿宋" w:hAnsi="仿宋" w:eastAsia="仿宋"/>
                <w:sz w:val="24"/>
              </w:rPr>
            </w:pPr>
            <w:r>
              <w:rPr>
                <w:rFonts w:hint="eastAsia" w:ascii="黑体" w:hAnsi="黑体" w:eastAsia="黑体" w:cs="黑体"/>
                <w:sz w:val="24"/>
                <w:szCs w:val="24"/>
              </w:rPr>
              <w:t>（三）参赛选手须知</w:t>
            </w:r>
          </w:p>
          <w:p w14:paraId="0F00C517">
            <w:pPr>
              <w:snapToGrid w:val="0"/>
              <w:spacing w:before="62" w:after="62" w:line="560" w:lineRule="exact"/>
              <w:ind w:firstLine="480"/>
              <w:rPr>
                <w:rFonts w:hint="eastAsia" w:ascii="仿宋" w:hAnsi="仿宋" w:eastAsia="仿宋"/>
                <w:sz w:val="24"/>
              </w:rPr>
            </w:pPr>
            <w:r>
              <w:rPr>
                <w:rFonts w:hint="eastAsia" w:ascii="仿宋" w:hAnsi="仿宋" w:eastAsia="仿宋"/>
                <w:sz w:val="24"/>
              </w:rPr>
              <w:t>1.参赛选手凭赛项执委会颁发的参赛凭证和有效身份证件（身份证、学生证）参加竞赛及相关活动，在赛场内操作期间应当始终佩带参赛凭证以备检查。</w:t>
            </w:r>
          </w:p>
          <w:p w14:paraId="2B95CB97">
            <w:pPr>
              <w:snapToGrid w:val="0"/>
              <w:spacing w:before="62" w:after="62" w:line="560" w:lineRule="exact"/>
              <w:ind w:firstLine="480"/>
              <w:rPr>
                <w:rFonts w:hint="eastAsia" w:ascii="仿宋" w:hAnsi="仿宋" w:eastAsia="仿宋"/>
                <w:sz w:val="24"/>
              </w:rPr>
            </w:pPr>
            <w:r>
              <w:rPr>
                <w:rFonts w:hint="eastAsia" w:ascii="仿宋" w:hAnsi="仿宋" w:eastAsia="仿宋"/>
                <w:sz w:val="24"/>
              </w:rPr>
              <w:t>2.参赛选手须严格按规定时间进入比赛场地，对现场条件进行确认并签字，按统一指令开始竞赛，在收到开赛信号前不得启动操作。各参赛队自行决定分工、工作程序和时间安排，在指定工位上完成竞赛项目。</w:t>
            </w:r>
          </w:p>
          <w:p w14:paraId="2CB0173B">
            <w:pPr>
              <w:snapToGrid w:val="0"/>
              <w:spacing w:before="62" w:after="62" w:line="560" w:lineRule="exact"/>
              <w:ind w:firstLine="480"/>
              <w:rPr>
                <w:rFonts w:hint="eastAsia" w:ascii="仿宋" w:hAnsi="仿宋" w:eastAsia="仿宋"/>
                <w:sz w:val="24"/>
              </w:rPr>
            </w:pPr>
            <w:r>
              <w:rPr>
                <w:rFonts w:hint="eastAsia" w:ascii="仿宋" w:hAnsi="仿宋" w:eastAsia="仿宋"/>
                <w:sz w:val="24"/>
              </w:rPr>
              <w:t>3.参赛选手不允许携带任何竞赛规程禁止使用的电子产品及通讯工具，以及其它与竞赛有关的资料和书籍，不得以任何方式泄露参赛院校、选手姓名等涉及竞赛场上应该保密的信息。</w:t>
            </w:r>
          </w:p>
          <w:p w14:paraId="7A77EED3">
            <w:pPr>
              <w:snapToGrid w:val="0"/>
              <w:spacing w:before="62" w:after="62" w:line="560" w:lineRule="exact"/>
              <w:ind w:firstLine="480"/>
              <w:rPr>
                <w:rFonts w:hint="eastAsia" w:ascii="仿宋" w:hAnsi="仿宋" w:eastAsia="仿宋"/>
                <w:sz w:val="24"/>
              </w:rPr>
            </w:pPr>
            <w:r>
              <w:rPr>
                <w:rFonts w:hint="eastAsia" w:ascii="仿宋" w:hAnsi="仿宋" w:eastAsia="仿宋"/>
                <w:sz w:val="24"/>
              </w:rPr>
              <w:t>4.参赛选手比赛时间内连续工作，食品、饮水等由赛场统一提供。选手休息、饮食及如厕时间均计算在比赛时间内。</w:t>
            </w:r>
          </w:p>
          <w:p w14:paraId="6611FDED">
            <w:pPr>
              <w:snapToGrid w:val="0"/>
              <w:spacing w:before="62" w:after="62" w:line="560" w:lineRule="exact"/>
              <w:ind w:firstLine="480"/>
              <w:rPr>
                <w:rFonts w:hint="eastAsia" w:ascii="仿宋" w:hAnsi="仿宋" w:eastAsia="仿宋"/>
                <w:sz w:val="24"/>
              </w:rPr>
            </w:pPr>
            <w:r>
              <w:rPr>
                <w:rFonts w:hint="eastAsia" w:ascii="仿宋" w:hAnsi="仿宋" w:eastAsia="仿宋"/>
                <w:sz w:val="24"/>
              </w:rPr>
              <w:t>5.竞赛期间，参赛选手不得提前离开赛场。如特殊原因（如身体不适等）无法继续参赛的，需举手请示裁判，经裁判同意后方可离开赛场。选手离开赛场后不得在场外逗留，也不得再返回赛场。</w:t>
            </w:r>
          </w:p>
          <w:p w14:paraId="5B474EE1">
            <w:pPr>
              <w:snapToGrid w:val="0"/>
              <w:spacing w:before="62" w:after="62" w:line="560" w:lineRule="exact"/>
              <w:ind w:firstLine="480"/>
              <w:rPr>
                <w:rFonts w:hint="eastAsia" w:ascii="仿宋" w:hAnsi="仿宋" w:eastAsia="仿宋"/>
                <w:sz w:val="24"/>
              </w:rPr>
            </w:pPr>
            <w:r>
              <w:rPr>
                <w:rFonts w:hint="eastAsia" w:ascii="仿宋" w:hAnsi="仿宋" w:eastAsia="仿宋"/>
                <w:sz w:val="24"/>
              </w:rPr>
              <w:t>6.竞赛结束时间到后，选手不得再进行任何与竞赛有关的操作。参赛队若提前结束比赛，应向裁判员举手示意，裁判员记录比赛完成时间。</w:t>
            </w:r>
          </w:p>
          <w:p w14:paraId="59A9E926">
            <w:pPr>
              <w:snapToGrid w:val="0"/>
              <w:spacing w:before="62" w:after="62" w:line="560" w:lineRule="exact"/>
              <w:ind w:firstLine="480"/>
              <w:rPr>
                <w:rFonts w:hint="eastAsia" w:ascii="仿宋" w:hAnsi="仿宋" w:eastAsia="仿宋"/>
                <w:sz w:val="24"/>
              </w:rPr>
            </w:pPr>
            <w:r>
              <w:rPr>
                <w:rFonts w:hint="eastAsia" w:ascii="仿宋" w:hAnsi="仿宋" w:eastAsia="仿宋"/>
                <w:sz w:val="24"/>
              </w:rPr>
              <w:t>7.参赛选手须按照竞赛要求及规定提交竞赛结果及相关文件，禁止在竞赛成果上做任何与竞赛无关的标记，如单位名称、参赛者姓名等，否则视为作弊。</w:t>
            </w:r>
          </w:p>
          <w:p w14:paraId="666247B8">
            <w:pPr>
              <w:snapToGrid w:val="0"/>
              <w:spacing w:before="62" w:after="62" w:line="560" w:lineRule="exact"/>
              <w:ind w:firstLine="480"/>
              <w:rPr>
                <w:rFonts w:hint="eastAsia" w:ascii="仿宋" w:hAnsi="仿宋" w:eastAsia="仿宋"/>
                <w:sz w:val="24"/>
              </w:rPr>
            </w:pPr>
            <w:r>
              <w:rPr>
                <w:rFonts w:hint="eastAsia" w:ascii="仿宋" w:hAnsi="仿宋" w:eastAsia="仿宋"/>
                <w:sz w:val="24"/>
              </w:rPr>
              <w:t>8.参赛选手须严格遵守操作规程，确保人身及设备安全。竞赛期间，若因选手个人原因出现安全事件或设备故障不能进行竞赛的，由裁判组裁定其竞赛结束，保留竞赛资格，累计其有效竞赛成绩；非选手个人原因出现的设备故障，由裁判组做出裁决，可视具体情况给选手补足排除故障耗费时间。</w:t>
            </w:r>
          </w:p>
          <w:p w14:paraId="636653C7">
            <w:pPr>
              <w:snapToGrid w:val="0"/>
              <w:spacing w:before="62" w:after="62" w:line="560" w:lineRule="exact"/>
              <w:ind w:firstLine="480"/>
              <w:rPr>
                <w:rFonts w:hint="eastAsia" w:ascii="仿宋" w:hAnsi="仿宋" w:eastAsia="仿宋"/>
                <w:sz w:val="24"/>
              </w:rPr>
            </w:pPr>
            <w:r>
              <w:rPr>
                <w:rFonts w:hint="eastAsia" w:ascii="仿宋" w:hAnsi="仿宋" w:eastAsia="仿宋"/>
                <w:sz w:val="24"/>
              </w:rPr>
              <w:t>9.参赛选手须严格遵守赛场规章制度、服从裁判，文明竞赛。有作弊行为的，参赛队该项成绩为0分；如有不服从裁判、扰乱赛场秩序等不文明行为，按照相关规定扣减分数，情节严重的取消比赛资格和成绩。</w:t>
            </w:r>
          </w:p>
          <w:p w14:paraId="67A8F5BF">
            <w:pPr>
              <w:snapToGrid w:val="0"/>
              <w:spacing w:before="62" w:after="62" w:line="560" w:lineRule="exact"/>
              <w:ind w:firstLine="480"/>
              <w:rPr>
                <w:rFonts w:hint="eastAsia" w:ascii="仿宋" w:hAnsi="仿宋" w:eastAsia="仿宋"/>
                <w:sz w:val="24"/>
              </w:rPr>
            </w:pPr>
            <w:r>
              <w:rPr>
                <w:rFonts w:hint="eastAsia" w:ascii="仿宋" w:hAnsi="仿宋" w:eastAsia="仿宋"/>
                <w:sz w:val="24"/>
              </w:rPr>
              <w:t>10.为培养技能型人才的工作风格，在参赛期间，参赛选手应当注意保持工作环境及设备摆放，符合企业生产“5S”（即整理、整顿、清扫、清洁和素养）的原则，如果过于脏乱，裁判员有权酌情扣分。</w:t>
            </w:r>
          </w:p>
          <w:p w14:paraId="57E89546">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（四）工作人员须知</w:t>
            </w:r>
          </w:p>
          <w:p w14:paraId="10B3860F">
            <w:pPr>
              <w:snapToGrid w:val="0"/>
              <w:spacing w:before="62" w:after="62" w:line="560" w:lineRule="exact"/>
              <w:ind w:firstLine="480"/>
              <w:rPr>
                <w:rFonts w:hint="eastAsia" w:ascii="仿宋" w:hAnsi="仿宋" w:eastAsia="仿宋"/>
                <w:sz w:val="24"/>
              </w:rPr>
            </w:pPr>
            <w:r>
              <w:rPr>
                <w:rFonts w:hint="eastAsia" w:ascii="仿宋" w:hAnsi="仿宋" w:eastAsia="仿宋"/>
                <w:sz w:val="24"/>
              </w:rPr>
              <w:t>1.服从赛项执委会的领导，遵守职业道德、坚持原则、按章办事，以高度负责的精神、严肃认真的态度和严谨细致的作风做好工作，为赛场提供有序的服务。</w:t>
            </w:r>
          </w:p>
          <w:p w14:paraId="522AA8F1">
            <w:pPr>
              <w:snapToGrid w:val="0"/>
              <w:spacing w:before="62" w:after="62" w:line="560" w:lineRule="exact"/>
              <w:ind w:firstLine="480"/>
              <w:rPr>
                <w:rFonts w:hint="eastAsia" w:ascii="仿宋" w:hAnsi="仿宋" w:eastAsia="仿宋"/>
                <w:sz w:val="24"/>
              </w:rPr>
            </w:pPr>
            <w:r>
              <w:rPr>
                <w:rFonts w:hint="eastAsia" w:ascii="仿宋" w:hAnsi="仿宋" w:eastAsia="仿宋"/>
                <w:sz w:val="24"/>
              </w:rPr>
              <w:t>2.佩带工作人员证件，仪表整洁，忠于职守，语言举止文明礼貌。</w:t>
            </w:r>
          </w:p>
          <w:p w14:paraId="49A007EE">
            <w:pPr>
              <w:snapToGrid w:val="0"/>
              <w:spacing w:before="62" w:after="62" w:line="560" w:lineRule="exact"/>
              <w:ind w:firstLine="480"/>
              <w:rPr>
                <w:rFonts w:hint="eastAsia" w:ascii="仿宋" w:hAnsi="仿宋" w:eastAsia="仿宋"/>
                <w:sz w:val="24"/>
              </w:rPr>
            </w:pPr>
            <w:r>
              <w:rPr>
                <w:rFonts w:hint="eastAsia" w:ascii="仿宋" w:hAnsi="仿宋" w:eastAsia="仿宋"/>
                <w:sz w:val="24"/>
              </w:rPr>
              <w:t>3.熟悉《竞赛规程》，认真执行竞赛规则，严格按照工作程序和有关规定办事，遇突发事件，按照应急预案，组织指挥人员疏散，确保人员安全。</w:t>
            </w:r>
          </w:p>
          <w:p w14:paraId="1B5D2242">
            <w:pPr>
              <w:snapToGrid w:val="0"/>
              <w:spacing w:before="62" w:after="62" w:line="560" w:lineRule="exact"/>
              <w:ind w:firstLine="480"/>
              <w:rPr>
                <w:rFonts w:hint="eastAsia" w:ascii="仿宋" w:hAnsi="仿宋" w:eastAsia="仿宋"/>
                <w:sz w:val="24"/>
              </w:rPr>
            </w:pPr>
            <w:r>
              <w:rPr>
                <w:rFonts w:hint="eastAsia" w:ascii="仿宋" w:hAnsi="仿宋" w:eastAsia="仿宋"/>
                <w:sz w:val="24"/>
              </w:rPr>
              <w:t>4.坚守岗位，不迟到，不早退，不擅离职守。</w:t>
            </w:r>
          </w:p>
          <w:p w14:paraId="5EF80DEC">
            <w:pPr>
              <w:snapToGrid w:val="0"/>
              <w:spacing w:before="62" w:after="62" w:line="560" w:lineRule="exact"/>
              <w:ind w:firstLine="480"/>
              <w:rPr>
                <w:rFonts w:hint="eastAsia" w:ascii="仿宋" w:hAnsi="仿宋" w:eastAsia="仿宋"/>
                <w:sz w:val="24"/>
              </w:rPr>
            </w:pPr>
            <w:r>
              <w:rPr>
                <w:rFonts w:hint="eastAsia" w:ascii="仿宋" w:hAnsi="仿宋" w:eastAsia="仿宋"/>
                <w:sz w:val="24"/>
              </w:rPr>
              <w:t>5.赛场工作人员要积极维护好赛场秩序，以利于参赛选手正常发挥水平。</w:t>
            </w:r>
          </w:p>
          <w:p w14:paraId="6D3B0FAB">
            <w:pPr>
              <w:spacing w:before="62" w:after="62"/>
              <w:ind w:firstLine="480"/>
              <w:rPr>
                <w:rFonts w:hint="eastAsia" w:ascii="仿宋" w:hAnsi="仿宋" w:eastAsia="仿宋"/>
                <w:sz w:val="24"/>
              </w:rPr>
            </w:pPr>
            <w:r>
              <w:rPr>
                <w:rFonts w:hint="eastAsia" w:ascii="仿宋" w:hAnsi="仿宋" w:eastAsia="仿宋"/>
                <w:sz w:val="24"/>
              </w:rPr>
              <w:t>6.赛场工作人员在比赛中不回答选手提出的任何有关比赛技术问题，如遇争议问题，需上报执委会。</w:t>
            </w:r>
          </w:p>
          <w:p w14:paraId="0DD4F368">
            <w:pPr>
              <w:spacing w:before="62" w:after="62"/>
              <w:ind w:firstLine="480"/>
              <w:rPr>
                <w:rFonts w:hint="eastAsia" w:ascii="黑体" w:hAnsi="黑体" w:eastAsia="黑体" w:cs="黑体"/>
                <w:sz w:val="24"/>
                <w:szCs w:val="24"/>
              </w:rPr>
            </w:pPr>
            <w:r>
              <w:rPr>
                <w:rFonts w:hint="eastAsia" w:ascii="黑体" w:hAnsi="黑体" w:eastAsia="黑体" w:cs="黑体"/>
                <w:sz w:val="24"/>
                <w:szCs w:val="24"/>
              </w:rPr>
              <w:t>（五）竞赛要求</w:t>
            </w:r>
          </w:p>
          <w:p w14:paraId="3D8A9FFE">
            <w:pPr>
              <w:spacing w:before="62" w:after="62"/>
              <w:ind w:firstLine="480"/>
              <w:rPr>
                <w:rFonts w:hint="eastAsia" w:ascii="仿宋" w:hAnsi="仿宋" w:eastAsia="仿宋"/>
                <w:sz w:val="24"/>
              </w:rPr>
            </w:pPr>
            <w:r>
              <w:rPr>
                <w:rFonts w:hint="eastAsia" w:ascii="仿宋" w:hAnsi="仿宋" w:eastAsia="仿宋"/>
                <w:sz w:val="24"/>
              </w:rPr>
              <w:t>1</w:t>
            </w:r>
            <w:r>
              <w:rPr>
                <w:rFonts w:ascii="仿宋" w:hAnsi="仿宋" w:eastAsia="仿宋"/>
                <w:sz w:val="24"/>
              </w:rPr>
              <w:t>.</w:t>
            </w:r>
            <w:r>
              <w:rPr>
                <w:rFonts w:hint="eastAsia" w:ascii="仿宋" w:hAnsi="仿宋" w:eastAsia="仿宋"/>
                <w:sz w:val="24"/>
              </w:rPr>
              <w:t>精心组织实施。要进一步提高思想认识，健全组织机构，完善赛事制度，细化工作流程，强化条件保障，抓好组织实施，确保大赛顺利举办。</w:t>
            </w:r>
          </w:p>
          <w:p w14:paraId="0A28AA7E">
            <w:pPr>
              <w:spacing w:before="62" w:after="62"/>
              <w:ind w:firstLine="480"/>
              <w:rPr>
                <w:rFonts w:hint="eastAsia" w:ascii="仿宋" w:hAnsi="仿宋" w:eastAsia="仿宋"/>
                <w:sz w:val="24"/>
              </w:rPr>
            </w:pPr>
            <w:r>
              <w:rPr>
                <w:rFonts w:hint="eastAsia" w:ascii="仿宋" w:hAnsi="仿宋" w:eastAsia="仿宋"/>
                <w:sz w:val="24"/>
              </w:rPr>
              <w:t>2</w:t>
            </w:r>
            <w:r>
              <w:rPr>
                <w:rFonts w:ascii="仿宋" w:hAnsi="仿宋" w:eastAsia="仿宋"/>
                <w:sz w:val="24"/>
              </w:rPr>
              <w:t>.</w:t>
            </w:r>
            <w:r>
              <w:rPr>
                <w:rFonts w:hint="eastAsia" w:ascii="仿宋" w:hAnsi="仿宋" w:eastAsia="仿宋"/>
                <w:sz w:val="24"/>
              </w:rPr>
              <w:t>强化监督管理。严格落实大赛规章制度，加强裁判、仲裁、纪律监督管理，切实强化过程监管，主动接受各方面监督，畅通申诉投诉渠道，确保大赛全流程各环节公开透明、公平公正。</w:t>
            </w:r>
          </w:p>
          <w:p w14:paraId="552167BC">
            <w:pPr>
              <w:spacing w:before="62" w:after="62"/>
              <w:ind w:firstLine="480"/>
              <w:rPr>
                <w:rFonts w:hint="eastAsia" w:ascii="仿宋" w:hAnsi="仿宋" w:eastAsia="仿宋"/>
                <w:sz w:val="24"/>
              </w:rPr>
            </w:pPr>
            <w:r>
              <w:rPr>
                <w:rFonts w:hint="eastAsia" w:ascii="仿宋" w:hAnsi="仿宋" w:eastAsia="仿宋"/>
                <w:sz w:val="24"/>
              </w:rPr>
              <w:t>3</w:t>
            </w:r>
            <w:r>
              <w:rPr>
                <w:rFonts w:ascii="仿宋" w:hAnsi="仿宋" w:eastAsia="仿宋"/>
                <w:sz w:val="24"/>
              </w:rPr>
              <w:t>.</w:t>
            </w:r>
            <w:r>
              <w:rPr>
                <w:rFonts w:hint="eastAsia" w:ascii="仿宋" w:hAnsi="仿宋" w:eastAsia="仿宋"/>
                <w:sz w:val="24"/>
              </w:rPr>
              <w:t>保障赛事安全。强化底线思维，坚决守牢安全防线，省级教育行政部门牵头成立专门的安全管理机构，压实安全工作责任，健全安全管理制度和应急处置预案，加强安全教育培训，切实抓好用火用电、设施设备等关键环节的安全工作，全力保障赛事安全、平稳、顺利举行。</w:t>
            </w:r>
          </w:p>
          <w:p w14:paraId="7D956777">
            <w:pPr>
              <w:spacing w:before="62" w:after="62"/>
              <w:ind w:firstLine="480"/>
              <w:rPr>
                <w:rFonts w:hint="eastAsia" w:ascii="仿宋" w:hAnsi="仿宋" w:eastAsia="仿宋"/>
                <w:sz w:val="24"/>
              </w:rPr>
            </w:pPr>
            <w:r>
              <w:rPr>
                <w:rFonts w:hint="eastAsia" w:ascii="仿宋" w:hAnsi="仿宋" w:eastAsia="仿宋"/>
                <w:sz w:val="24"/>
              </w:rPr>
              <w:t>4</w:t>
            </w:r>
            <w:r>
              <w:rPr>
                <w:rFonts w:ascii="仿宋" w:hAnsi="仿宋" w:eastAsia="仿宋"/>
                <w:sz w:val="24"/>
              </w:rPr>
              <w:t>.</w:t>
            </w:r>
            <w:r>
              <w:rPr>
                <w:rFonts w:hint="eastAsia" w:ascii="仿宋" w:hAnsi="仿宋" w:eastAsia="仿宋"/>
                <w:sz w:val="24"/>
              </w:rPr>
              <w:t>坚持廉洁办赛。各级赛事组织机构要建立廉洁办赛责任制，严格落实主体责任，加强廉洁自律宣传教育，对违规违纪违法行为进行严肃处理。严格落实中央八项规定及其实施细则精神，严禁铺张浪费，不得超标住宿、用餐、发放劳务费，严禁借大赛名义公款组织旅游和娱乐活动。</w:t>
            </w:r>
          </w:p>
          <w:p w14:paraId="67AF4E11">
            <w:pPr>
              <w:spacing w:before="62" w:after="62"/>
              <w:ind w:firstLine="480"/>
            </w:pPr>
            <w:r>
              <w:rPr>
                <w:rFonts w:hint="eastAsia" w:ascii="仿宋" w:hAnsi="仿宋" w:eastAsia="仿宋"/>
                <w:sz w:val="24"/>
              </w:rPr>
              <w:t>5</w:t>
            </w:r>
            <w:r>
              <w:rPr>
                <w:rFonts w:ascii="仿宋" w:hAnsi="仿宋" w:eastAsia="仿宋"/>
                <w:sz w:val="24"/>
              </w:rPr>
              <w:t>.</w:t>
            </w:r>
            <w:r>
              <w:rPr>
                <w:rFonts w:hint="eastAsia" w:ascii="仿宋" w:hAnsi="仿宋" w:eastAsia="仿宋"/>
                <w:sz w:val="24"/>
              </w:rPr>
              <w:t>加强宣传引导。通过主流媒体和新媒体平台等方式，做好大赛方案解读和宣传工作，引导学校积极参赛。赛区要结合实际，在比赛期间开展相关活动，丰富大赛内涵，推进成果转化应用。大力宣传获奖项目、优秀选手以及大赛对高技能人才培养的重要意义，为大赛营造良好氛围。</w:t>
            </w:r>
          </w:p>
        </w:tc>
      </w:tr>
    </w:tbl>
    <w:p w14:paraId="44E33EFF">
      <w:pPr>
        <w:snapToGrid w:val="0"/>
        <w:spacing w:before="62" w:after="62" w:line="560" w:lineRule="exact"/>
        <w:ind w:firstLine="0" w:firstLineChars="0"/>
        <w:rPr>
          <w:sz w:val="30"/>
          <w:szCs w:val="30"/>
        </w:rPr>
      </w:pPr>
    </w:p>
    <w:p w14:paraId="5CF4A490">
      <w:pPr>
        <w:snapToGrid w:val="0"/>
        <w:spacing w:before="62" w:after="62" w:line="560" w:lineRule="exact"/>
        <w:ind w:firstLine="0" w:firstLineChars="0"/>
        <w:rPr>
          <w:sz w:val="30"/>
          <w:szCs w:val="30"/>
        </w:rPr>
      </w:pPr>
      <w:r>
        <w:rPr>
          <w:rFonts w:hint="eastAsia"/>
          <w:sz w:val="30"/>
          <w:szCs w:val="30"/>
        </w:rPr>
        <w:t>十五、申诉与仲裁</w:t>
      </w:r>
    </w:p>
    <w:tbl>
      <w:tblPr>
        <w:tblStyle w:val="5"/>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14:paraId="3D79F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14:paraId="3059FFAE">
            <w:pPr>
              <w:snapToGrid w:val="0"/>
              <w:spacing w:before="62" w:after="62" w:line="560" w:lineRule="exact"/>
              <w:ind w:firstLine="480"/>
              <w:rPr>
                <w:rFonts w:hint="eastAsia" w:ascii="仿宋" w:hAnsi="仿宋" w:eastAsia="仿宋" w:cs="仿宋"/>
                <w:sz w:val="24"/>
                <w:szCs w:val="30"/>
              </w:rPr>
            </w:pPr>
            <w:r>
              <w:rPr>
                <w:rFonts w:hint="eastAsia" w:ascii="仿宋" w:hAnsi="仿宋" w:eastAsia="仿宋" w:cs="仿宋"/>
                <w:sz w:val="24"/>
                <w:szCs w:val="30"/>
              </w:rPr>
              <w:t>1.各参赛队对不符合大赛和赛项规程规定的仪器、设备、工装、材料、物件、计算机软硬件、竞赛使用工具、用品，竞赛执裁、赛场管理，以及工作人员的不规范行为等，可向赛项监督仲裁组提出申诉。申诉主体为参赛队领队。参赛队领队可在比赛结束后（选手赛场比赛内容全部完成）1小时之内向监督仲裁组提出书面申诉。</w:t>
            </w:r>
          </w:p>
          <w:p w14:paraId="07B2881C">
            <w:pPr>
              <w:snapToGrid w:val="0"/>
              <w:spacing w:before="62" w:after="62" w:line="560" w:lineRule="exact"/>
              <w:ind w:firstLine="480"/>
              <w:rPr>
                <w:rFonts w:hint="eastAsia" w:ascii="仿宋" w:hAnsi="仿宋" w:eastAsia="仿宋" w:cs="仿宋"/>
                <w:sz w:val="24"/>
                <w:szCs w:val="30"/>
              </w:rPr>
            </w:pPr>
            <w:r>
              <w:rPr>
                <w:rFonts w:hint="eastAsia" w:ascii="仿宋" w:hAnsi="仿宋" w:eastAsia="仿宋" w:cs="仿宋"/>
                <w:sz w:val="24"/>
                <w:szCs w:val="30"/>
              </w:rPr>
              <w:t>2.书面申诉应对申诉事件的现象、发生时间、涉及人员、申诉依据等进行充分、实事求是的叙述，并由领队亲笔签名。非书面申诉不予受理。</w:t>
            </w:r>
          </w:p>
          <w:p w14:paraId="671C621A">
            <w:pPr>
              <w:snapToGrid w:val="0"/>
              <w:spacing w:before="62" w:after="62" w:line="560" w:lineRule="exact"/>
              <w:ind w:firstLine="480"/>
              <w:rPr>
                <w:rFonts w:hint="eastAsia" w:ascii="仿宋" w:hAnsi="仿宋" w:eastAsia="仿宋" w:cs="仿宋"/>
                <w:sz w:val="24"/>
                <w:szCs w:val="30"/>
              </w:rPr>
            </w:pPr>
            <w:r>
              <w:rPr>
                <w:rFonts w:hint="eastAsia" w:ascii="仿宋" w:hAnsi="仿宋" w:eastAsia="仿宋" w:cs="仿宋"/>
                <w:sz w:val="24"/>
                <w:szCs w:val="30"/>
              </w:rPr>
              <w:t>3.赛项监督仲裁组</w:t>
            </w:r>
            <w:r>
              <w:rPr>
                <w:rFonts w:hint="eastAsia" w:ascii="仿宋" w:hAnsi="仿宋" w:eastAsia="仿宋" w:cs="仿宋"/>
                <w:sz w:val="24"/>
              </w:rPr>
              <w:t>收到申诉报告后，应根据申诉事由进行审查，2小时内通知申诉方，告知申诉处理结果</w:t>
            </w:r>
            <w:r>
              <w:rPr>
                <w:rFonts w:hint="eastAsia" w:ascii="仿宋" w:hAnsi="仿宋" w:eastAsia="仿宋" w:cs="仿宋"/>
                <w:sz w:val="24"/>
                <w:szCs w:val="30"/>
              </w:rPr>
              <w:t>。</w:t>
            </w:r>
          </w:p>
          <w:p w14:paraId="46EC67AC">
            <w:pPr>
              <w:snapToGrid w:val="0"/>
              <w:spacing w:before="62" w:after="62" w:line="560" w:lineRule="exact"/>
              <w:ind w:firstLine="480"/>
              <w:rPr>
                <w:rFonts w:hint="eastAsia" w:ascii="仿宋" w:hAnsi="仿宋" w:eastAsia="仿宋" w:cs="仿宋"/>
                <w:sz w:val="24"/>
                <w:szCs w:val="30"/>
              </w:rPr>
            </w:pPr>
            <w:r>
              <w:rPr>
                <w:rFonts w:hint="eastAsia" w:ascii="仿宋" w:hAnsi="仿宋" w:eastAsia="仿宋" w:cs="仿宋"/>
                <w:sz w:val="24"/>
              </w:rPr>
              <w:t>4.申诉人不得无故拒不接受处理结果，不允许采取过激行为刁难、攻击工作人员，否则视为放弃申诉。申诉人不满意赛项仲裁工作组的处理结果的，可向大赛仲裁委员会提出复议申请。大赛仲裁委员会在接到复议申请后的1天内组织复议，并及时反馈复议结果。大赛仲裁委员会的仲裁结果为最终结果。</w:t>
            </w:r>
          </w:p>
          <w:p w14:paraId="7651FE5C">
            <w:pPr>
              <w:snapToGrid w:val="0"/>
              <w:spacing w:before="62" w:after="62" w:line="560" w:lineRule="exact"/>
              <w:ind w:firstLine="480"/>
              <w:rPr>
                <w:rFonts w:hint="eastAsia" w:ascii="仿宋" w:hAnsi="仿宋" w:eastAsia="仿宋" w:cs="仿宋"/>
                <w:sz w:val="24"/>
                <w:szCs w:val="30"/>
              </w:rPr>
            </w:pPr>
            <w:r>
              <w:rPr>
                <w:rFonts w:hint="eastAsia" w:ascii="仿宋" w:hAnsi="仿宋" w:eastAsia="仿宋" w:cs="仿宋"/>
                <w:sz w:val="24"/>
                <w:szCs w:val="30"/>
              </w:rPr>
              <w:t>5.仲裁结果由申诉人签收，不能代收，如在约定时间和地点申诉人离开，视为自行放弃申诉。</w:t>
            </w:r>
          </w:p>
          <w:p w14:paraId="4297F733">
            <w:pPr>
              <w:snapToGrid w:val="0"/>
              <w:spacing w:before="62" w:after="62" w:line="560" w:lineRule="exact"/>
              <w:ind w:firstLine="480"/>
              <w:rPr>
                <w:rFonts w:hint="eastAsia" w:ascii="仿宋" w:hAnsi="仿宋" w:eastAsia="仿宋" w:cs="仿宋"/>
                <w:sz w:val="24"/>
                <w:szCs w:val="30"/>
              </w:rPr>
            </w:pPr>
            <w:r>
              <w:rPr>
                <w:rFonts w:hint="eastAsia" w:ascii="仿宋" w:hAnsi="仿宋" w:eastAsia="仿宋" w:cs="仿宋"/>
                <w:sz w:val="24"/>
                <w:szCs w:val="30"/>
              </w:rPr>
              <w:t>6.申诉方可随时提出放弃申诉。</w:t>
            </w:r>
          </w:p>
          <w:p w14:paraId="5AF32908">
            <w:pPr>
              <w:snapToGrid w:val="0"/>
              <w:spacing w:before="62" w:after="62" w:line="560" w:lineRule="exact"/>
              <w:ind w:firstLine="480"/>
              <w:rPr>
                <w:rFonts w:ascii="仿宋_GB2312" w:hAnsi="Arial Narrow" w:cs="Arial"/>
                <w:sz w:val="24"/>
                <w:szCs w:val="30"/>
              </w:rPr>
            </w:pPr>
            <w:r>
              <w:rPr>
                <w:rFonts w:hint="eastAsia" w:ascii="仿宋" w:hAnsi="仿宋" w:eastAsia="仿宋" w:cs="仿宋"/>
                <w:sz w:val="24"/>
                <w:szCs w:val="30"/>
              </w:rPr>
              <w:t>7.申诉方不得以任何理由采取过激行为扰乱赛场秩序。</w:t>
            </w:r>
          </w:p>
        </w:tc>
      </w:tr>
    </w:tbl>
    <w:p w14:paraId="0B52D184">
      <w:pPr>
        <w:snapToGrid w:val="0"/>
        <w:spacing w:before="62" w:after="62" w:line="560" w:lineRule="exact"/>
        <w:ind w:firstLine="0" w:firstLineChars="0"/>
        <w:rPr>
          <w:sz w:val="30"/>
          <w:szCs w:val="30"/>
        </w:rPr>
      </w:pPr>
    </w:p>
    <w:p w14:paraId="033C7E3D">
      <w:pPr>
        <w:snapToGrid w:val="0"/>
        <w:spacing w:before="62" w:after="62" w:line="560" w:lineRule="exact"/>
        <w:ind w:firstLine="0" w:firstLineChars="0"/>
        <w:rPr>
          <w:sz w:val="30"/>
          <w:szCs w:val="30"/>
        </w:rPr>
      </w:pPr>
      <w:r>
        <w:rPr>
          <w:rFonts w:hint="eastAsia"/>
          <w:sz w:val="30"/>
          <w:szCs w:val="30"/>
        </w:rPr>
        <w:t>十六、竞赛观摩</w:t>
      </w:r>
    </w:p>
    <w:tbl>
      <w:tblPr>
        <w:tblStyle w:val="5"/>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4"/>
      </w:tblGrid>
      <w:tr w14:paraId="3E05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4" w:type="dxa"/>
          </w:tcPr>
          <w:p w14:paraId="42C39000">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（一）公开观摩</w:t>
            </w:r>
          </w:p>
          <w:p w14:paraId="63781F6D">
            <w:pPr>
              <w:snapToGrid w:val="0"/>
              <w:spacing w:before="62" w:after="62" w:line="560" w:lineRule="exact"/>
              <w:ind w:firstLine="480"/>
              <w:rPr>
                <w:rFonts w:hint="eastAsia" w:ascii="仿宋" w:hAnsi="仿宋" w:eastAsia="仿宋" w:cs="仿宋"/>
                <w:sz w:val="24"/>
                <w:szCs w:val="30"/>
              </w:rPr>
            </w:pPr>
            <w:r>
              <w:rPr>
                <w:rFonts w:hint="eastAsia" w:ascii="仿宋" w:hAnsi="仿宋" w:eastAsia="仿宋" w:cs="仿宋"/>
                <w:sz w:val="24"/>
                <w:szCs w:val="30"/>
              </w:rPr>
              <w:t>媒体观众可以在不打扰选手竞赛的要求下，沿现场指定观摩通道有组织地参观竞赛现场，了解人工智能技术及职业教育教学成果。</w:t>
            </w:r>
          </w:p>
          <w:p w14:paraId="125A77C2">
            <w:pPr>
              <w:snapToGrid w:val="0"/>
              <w:spacing w:before="62" w:after="62" w:line="560" w:lineRule="exact"/>
              <w:ind w:firstLine="480"/>
              <w:rPr>
                <w:rFonts w:hint="eastAsia" w:ascii="仿宋" w:hAnsi="仿宋" w:eastAsia="仿宋" w:cs="仿宋"/>
                <w:sz w:val="24"/>
                <w:szCs w:val="30"/>
              </w:rPr>
            </w:pPr>
            <w:r>
              <w:rPr>
                <w:rFonts w:hint="eastAsia" w:ascii="仿宋" w:hAnsi="仿宋" w:eastAsia="仿宋" w:cs="仿宋"/>
                <w:sz w:val="24"/>
                <w:szCs w:val="30"/>
              </w:rPr>
              <w:t>在赛场外布置开放式展区，对人工智能技术应用进行科普宣传，将人工智能技术应用在人们生活中的应用或者未来生活的应用对公众进行展现。</w:t>
            </w:r>
          </w:p>
          <w:p w14:paraId="33B11B2E">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（二）组织安排</w:t>
            </w:r>
          </w:p>
          <w:p w14:paraId="2C6C750D">
            <w:pPr>
              <w:snapToGrid w:val="0"/>
              <w:spacing w:before="62" w:after="62" w:line="560" w:lineRule="exact"/>
              <w:ind w:firstLine="480"/>
              <w:rPr>
                <w:rFonts w:hint="eastAsia" w:ascii="仿宋" w:hAnsi="仿宋" w:eastAsia="仿宋" w:cs="仿宋"/>
                <w:sz w:val="24"/>
                <w:szCs w:val="30"/>
              </w:rPr>
            </w:pPr>
            <w:r>
              <w:rPr>
                <w:rFonts w:hint="eastAsia" w:ascii="仿宋" w:hAnsi="仿宋" w:eastAsia="仿宋" w:cs="仿宋"/>
                <w:sz w:val="24"/>
                <w:szCs w:val="30"/>
              </w:rPr>
              <w:t>观摩团在竞赛工作人员带领下，分批次到赛场观摩比赛。</w:t>
            </w:r>
          </w:p>
          <w:p w14:paraId="57D3362F">
            <w:pPr>
              <w:snapToGrid w:val="0"/>
              <w:spacing w:before="62" w:after="62" w:line="560" w:lineRule="exact"/>
              <w:ind w:firstLine="240" w:firstLineChars="100"/>
              <w:outlineLvl w:val="0"/>
              <w:rPr>
                <w:rFonts w:hint="eastAsia" w:ascii="黑体" w:hAnsi="黑体" w:eastAsia="黑体" w:cs="黑体"/>
                <w:sz w:val="24"/>
                <w:szCs w:val="24"/>
              </w:rPr>
            </w:pPr>
            <w:r>
              <w:rPr>
                <w:rFonts w:hint="eastAsia" w:ascii="黑体" w:hAnsi="黑体" w:eastAsia="黑体" w:cs="黑体"/>
                <w:sz w:val="24"/>
                <w:szCs w:val="24"/>
              </w:rPr>
              <w:t>（三）纪律要求</w:t>
            </w:r>
          </w:p>
          <w:p w14:paraId="5CD28755">
            <w:pPr>
              <w:snapToGrid w:val="0"/>
              <w:spacing w:before="62" w:after="62" w:line="560" w:lineRule="exact"/>
              <w:ind w:firstLine="480"/>
              <w:rPr>
                <w:rFonts w:hint="eastAsia" w:ascii="仿宋" w:hAnsi="仿宋" w:eastAsia="仿宋" w:cs="仿宋"/>
                <w:sz w:val="24"/>
                <w:szCs w:val="30"/>
              </w:rPr>
            </w:pPr>
            <w:r>
              <w:rPr>
                <w:rFonts w:hint="eastAsia" w:ascii="仿宋" w:hAnsi="仿宋" w:eastAsia="仿宋" w:cs="仿宋"/>
                <w:sz w:val="24"/>
                <w:szCs w:val="30"/>
              </w:rPr>
              <w:t>观摩团成员在赛场需保持安静，沿现场指定观摩通道有组织地参观竞赛现场，不可进入比赛区域，不可接触设备，影响选手比赛。</w:t>
            </w:r>
          </w:p>
          <w:p w14:paraId="139EB50D">
            <w:pPr>
              <w:spacing w:before="62" w:after="62"/>
              <w:ind w:firstLine="480"/>
              <w:rPr>
                <w:rFonts w:hint="eastAsia" w:ascii="仿宋" w:hAnsi="仿宋" w:eastAsia="仿宋" w:cs="仿宋"/>
              </w:rPr>
            </w:pPr>
            <w:r>
              <w:rPr>
                <w:rFonts w:hint="eastAsia" w:ascii="仿宋" w:hAnsi="仿宋" w:eastAsia="仿宋" w:cs="仿宋"/>
                <w:sz w:val="24"/>
                <w:szCs w:val="30"/>
              </w:rPr>
              <w:t>观摩者不可携带手机、IPAD等通讯工具进入赛场，不可与选手讲话、传递信息等，需遵守赛场纪律。</w:t>
            </w:r>
          </w:p>
          <w:p w14:paraId="4A948026">
            <w:pPr>
              <w:spacing w:before="62" w:after="62"/>
              <w:ind w:firstLine="0" w:firstLineChars="0"/>
            </w:pPr>
          </w:p>
        </w:tc>
      </w:tr>
    </w:tbl>
    <w:p w14:paraId="642EF881">
      <w:pPr>
        <w:snapToGrid w:val="0"/>
        <w:spacing w:before="62" w:after="62" w:line="560" w:lineRule="exact"/>
        <w:ind w:firstLine="0" w:firstLineChars="0"/>
        <w:rPr>
          <w:sz w:val="30"/>
          <w:szCs w:val="30"/>
        </w:rPr>
      </w:pPr>
    </w:p>
    <w:p w14:paraId="79006B1D">
      <w:pPr>
        <w:snapToGrid w:val="0"/>
        <w:spacing w:before="62" w:after="62" w:line="560" w:lineRule="exact"/>
        <w:ind w:firstLine="0" w:firstLineChars="0"/>
        <w:rPr>
          <w:sz w:val="30"/>
          <w:szCs w:val="30"/>
        </w:rPr>
      </w:pPr>
    </w:p>
    <w:p w14:paraId="201A3A36">
      <w:pPr>
        <w:snapToGrid w:val="0"/>
        <w:spacing w:before="62" w:after="62" w:line="560" w:lineRule="exact"/>
        <w:ind w:firstLine="0" w:firstLineChars="0"/>
        <w:rPr>
          <w:sz w:val="30"/>
          <w:szCs w:val="30"/>
        </w:rPr>
      </w:pPr>
    </w:p>
    <w:p w14:paraId="2937FB11">
      <w:pPr>
        <w:snapToGrid w:val="0"/>
        <w:spacing w:before="62" w:after="62" w:line="560" w:lineRule="exact"/>
        <w:ind w:firstLine="0" w:firstLineChars="0"/>
        <w:rPr>
          <w:sz w:val="30"/>
          <w:szCs w:val="30"/>
        </w:rPr>
      </w:pPr>
    </w:p>
    <w:p w14:paraId="63A77FA9">
      <w:pPr>
        <w:snapToGrid w:val="0"/>
        <w:spacing w:before="62" w:after="62" w:line="560" w:lineRule="exact"/>
        <w:ind w:firstLine="0" w:firstLineChars="0"/>
        <w:rPr>
          <w:sz w:val="30"/>
          <w:szCs w:val="30"/>
        </w:rPr>
      </w:pPr>
    </w:p>
    <w:p w14:paraId="2BD950FC">
      <w:pPr>
        <w:snapToGrid w:val="0"/>
        <w:spacing w:before="62" w:after="62" w:line="560" w:lineRule="exact"/>
        <w:ind w:firstLine="0" w:firstLineChars="0"/>
        <w:rPr>
          <w:sz w:val="30"/>
          <w:szCs w:val="30"/>
        </w:rPr>
      </w:pPr>
      <w:r>
        <w:rPr>
          <w:rFonts w:hint="eastAsia"/>
          <w:sz w:val="30"/>
          <w:szCs w:val="30"/>
        </w:rPr>
        <w:t>十七、资源转化</w:t>
      </w:r>
    </w:p>
    <w:tbl>
      <w:tblPr>
        <w:tblStyle w:val="5"/>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5"/>
      </w:tblGrid>
      <w:tr w14:paraId="3FA6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5" w:type="dxa"/>
          </w:tcPr>
          <w:p w14:paraId="4B049E2D">
            <w:pPr>
              <w:widowControl/>
              <w:spacing w:before="62" w:after="62"/>
              <w:ind w:firstLine="480"/>
              <w:jc w:val="left"/>
              <w:rPr>
                <w:rFonts w:hint="eastAsia" w:ascii="黑体" w:hAnsi="黑体" w:eastAsia="黑体" w:cs="黑体"/>
                <w:kern w:val="0"/>
                <w:sz w:val="24"/>
                <w:szCs w:val="24"/>
                <w:lang w:bidi="ar"/>
              </w:rPr>
            </w:pPr>
            <w:r>
              <w:rPr>
                <w:rFonts w:hint="eastAsia" w:ascii="黑体" w:hAnsi="黑体" w:eastAsia="黑体" w:cs="黑体"/>
                <w:kern w:val="0"/>
                <w:sz w:val="24"/>
                <w:szCs w:val="24"/>
                <w:lang w:bidi="ar"/>
              </w:rPr>
              <w:t>以下内容仅供学校参考。</w:t>
            </w:r>
          </w:p>
          <w:p w14:paraId="0B34FAE5">
            <w:pPr>
              <w:pStyle w:val="11"/>
              <w:numPr>
                <w:ilvl w:val="0"/>
                <w:numId w:val="3"/>
              </w:numPr>
              <w:snapToGrid w:val="0"/>
              <w:spacing w:before="62" w:after="62" w:line="560" w:lineRule="exact"/>
              <w:ind w:firstLineChars="0"/>
              <w:outlineLvl w:val="0"/>
              <w:rPr>
                <w:rFonts w:hint="eastAsia" w:ascii="黑体" w:hAnsi="黑体" w:eastAsia="黑体" w:cs="黑体"/>
                <w:sz w:val="24"/>
                <w:szCs w:val="24"/>
              </w:rPr>
            </w:pPr>
            <w:r>
              <w:rPr>
                <w:rFonts w:hint="eastAsia" w:ascii="黑体" w:hAnsi="黑体" w:eastAsia="黑体" w:cs="黑体"/>
                <w:sz w:val="24"/>
                <w:szCs w:val="24"/>
              </w:rPr>
              <w:t>主要内容</w:t>
            </w:r>
          </w:p>
          <w:p w14:paraId="0A89CECE">
            <w:pPr>
              <w:pStyle w:val="12"/>
              <w:shd w:val="clear" w:color="auto" w:fill="FFFFFF"/>
              <w:spacing w:before="48" w:beforeAutospacing="0" w:after="48" w:afterAutospacing="0" w:line="429" w:lineRule="atLeast"/>
              <w:rPr>
                <w:rFonts w:hint="eastAsia" w:ascii="仿宋" w:hAnsi="仿宋" w:eastAsia="仿宋" w:cs="仿宋"/>
                <w:kern w:val="2"/>
                <w:szCs w:val="30"/>
              </w:rPr>
            </w:pPr>
            <w:r>
              <w:rPr>
                <w:rFonts w:hint="eastAsia" w:ascii="仿宋" w:hAnsi="仿宋" w:eastAsia="仿宋" w:cs="仿宋"/>
                <w:b/>
                <w:bCs/>
                <w:kern w:val="2"/>
                <w:szCs w:val="30"/>
              </w:rPr>
              <w:t>1.基本资源</w:t>
            </w:r>
          </w:p>
          <w:p w14:paraId="63CF5D5F">
            <w:pPr>
              <w:pStyle w:val="12"/>
              <w:shd w:val="clear" w:color="auto" w:fill="FFFFFF"/>
              <w:spacing w:before="0" w:beforeAutospacing="0" w:after="60" w:afterAutospacing="0" w:line="429" w:lineRule="atLeast"/>
              <w:rPr>
                <w:rFonts w:hint="eastAsia" w:ascii="仿宋" w:hAnsi="仿宋" w:eastAsia="仿宋" w:cs="仿宋"/>
                <w:kern w:val="2"/>
                <w:szCs w:val="30"/>
              </w:rPr>
            </w:pPr>
            <w:r>
              <w:rPr>
                <w:rFonts w:hint="eastAsia" w:ascii="仿宋" w:hAnsi="仿宋" w:eastAsia="仿宋" w:cs="仿宋"/>
                <w:b/>
                <w:bCs/>
                <w:kern w:val="2"/>
                <w:szCs w:val="30"/>
              </w:rPr>
              <w:t>（1）风采展示</w:t>
            </w:r>
          </w:p>
          <w:p w14:paraId="253DE99E">
            <w:pPr>
              <w:pStyle w:val="12"/>
              <w:shd w:val="clear" w:color="auto" w:fill="FFFFFF"/>
              <w:spacing w:before="0" w:beforeAutospacing="0" w:line="429" w:lineRule="atLeast"/>
              <w:rPr>
                <w:rFonts w:hint="eastAsia" w:ascii="仿宋" w:hAnsi="仿宋" w:eastAsia="仿宋" w:cs="仿宋"/>
                <w:kern w:val="2"/>
                <w:szCs w:val="30"/>
              </w:rPr>
            </w:pPr>
            <w:r>
              <w:rPr>
                <w:rFonts w:hint="eastAsia" w:ascii="仿宋" w:hAnsi="仿宋" w:eastAsia="仿宋" w:cs="仿宋"/>
                <w:b/>
                <w:bCs/>
                <w:kern w:val="2"/>
                <w:szCs w:val="30"/>
              </w:rPr>
              <w:t>赛项宣传片</w:t>
            </w:r>
            <w:r>
              <w:rPr>
                <w:rFonts w:hint="eastAsia" w:ascii="仿宋" w:hAnsi="仿宋" w:eastAsia="仿宋" w:cs="仿宋"/>
                <w:kern w:val="2"/>
                <w:szCs w:val="30"/>
              </w:rPr>
              <w:t>（10分钟）：展示赛项技术亮点、竞赛流程、选手竞技场景，突出人工智能技术在产业中的应用价值。</w:t>
            </w:r>
          </w:p>
          <w:p w14:paraId="53381FA6">
            <w:pPr>
              <w:pStyle w:val="12"/>
              <w:shd w:val="clear" w:color="auto" w:fill="FFFFFF"/>
              <w:spacing w:before="0" w:beforeAutospacing="0" w:line="429" w:lineRule="atLeast"/>
              <w:rPr>
                <w:rFonts w:hint="eastAsia" w:ascii="仿宋" w:hAnsi="仿宋" w:eastAsia="仿宋" w:cs="仿宋"/>
                <w:kern w:val="2"/>
                <w:szCs w:val="30"/>
              </w:rPr>
            </w:pPr>
            <w:r>
              <w:rPr>
                <w:rFonts w:hint="eastAsia" w:ascii="仿宋" w:hAnsi="仿宋" w:eastAsia="仿宋" w:cs="仿宋"/>
                <w:b/>
                <w:bCs/>
                <w:kern w:val="2"/>
                <w:szCs w:val="30"/>
              </w:rPr>
              <w:t>获奖选手风采片</w:t>
            </w:r>
            <w:r>
              <w:rPr>
                <w:rFonts w:hint="eastAsia" w:ascii="仿宋" w:hAnsi="仿宋" w:eastAsia="仿宋" w:cs="仿宋"/>
                <w:kern w:val="2"/>
                <w:szCs w:val="30"/>
              </w:rPr>
              <w:t>（10分钟）：记录获奖团队备赛过程、技术突破及行业专家点评，强化榜样引领作用。</w:t>
            </w:r>
          </w:p>
          <w:p w14:paraId="2B23078F">
            <w:pPr>
              <w:pStyle w:val="12"/>
              <w:shd w:val="clear" w:color="auto" w:fill="FFFFFF"/>
              <w:spacing w:before="0" w:beforeAutospacing="0" w:after="60" w:afterAutospacing="0" w:line="429" w:lineRule="atLeast"/>
              <w:rPr>
                <w:rFonts w:hint="eastAsia" w:ascii="仿宋" w:hAnsi="仿宋" w:eastAsia="仿宋" w:cs="仿宋"/>
                <w:kern w:val="2"/>
                <w:szCs w:val="30"/>
              </w:rPr>
            </w:pPr>
            <w:r>
              <w:rPr>
                <w:rFonts w:hint="eastAsia" w:ascii="仿宋" w:hAnsi="仿宋" w:eastAsia="仿宋" w:cs="仿宋"/>
                <w:b/>
                <w:bCs/>
                <w:kern w:val="2"/>
                <w:szCs w:val="30"/>
              </w:rPr>
              <w:t>（2）技术（技能）概要</w:t>
            </w:r>
          </w:p>
          <w:p w14:paraId="79E5D422">
            <w:pPr>
              <w:pStyle w:val="12"/>
              <w:shd w:val="clear" w:color="auto" w:fill="FFFFFF"/>
              <w:spacing w:before="0" w:beforeAutospacing="0" w:line="429" w:lineRule="atLeast"/>
              <w:rPr>
                <w:rFonts w:hint="eastAsia" w:ascii="仿宋" w:hAnsi="仿宋" w:eastAsia="仿宋" w:cs="仿宋"/>
                <w:kern w:val="2"/>
                <w:szCs w:val="30"/>
              </w:rPr>
            </w:pPr>
            <w:r>
              <w:rPr>
                <w:rFonts w:hint="eastAsia" w:ascii="仿宋" w:hAnsi="仿宋" w:eastAsia="仿宋" w:cs="仿宋"/>
                <w:b/>
                <w:bCs/>
                <w:kern w:val="2"/>
                <w:szCs w:val="30"/>
              </w:rPr>
              <w:t>技术文档</w:t>
            </w:r>
            <w:r>
              <w:rPr>
                <w:rFonts w:hint="eastAsia" w:ascii="仿宋" w:hAnsi="仿宋" w:eastAsia="仿宋" w:cs="仿宋"/>
                <w:kern w:val="2"/>
                <w:szCs w:val="30"/>
              </w:rPr>
              <w:t>：涵盖赛项核心技术（如机器学习、计算机视觉、自然语言处理）、操作规范、安全标准及评分细则。</w:t>
            </w:r>
          </w:p>
          <w:p w14:paraId="01081EBB">
            <w:pPr>
              <w:pStyle w:val="12"/>
              <w:shd w:val="clear" w:color="auto" w:fill="FFFFFF"/>
              <w:spacing w:before="0" w:beforeAutospacing="0" w:line="429" w:lineRule="atLeast"/>
              <w:rPr>
                <w:rFonts w:hint="eastAsia" w:ascii="仿宋" w:hAnsi="仿宋" w:eastAsia="仿宋" w:cs="仿宋"/>
                <w:kern w:val="2"/>
                <w:szCs w:val="30"/>
              </w:rPr>
            </w:pPr>
            <w:r>
              <w:rPr>
                <w:rFonts w:hint="eastAsia" w:ascii="仿宋" w:hAnsi="仿宋" w:eastAsia="仿宋" w:cs="仿宋"/>
                <w:b/>
                <w:bCs/>
                <w:kern w:val="2"/>
                <w:szCs w:val="30"/>
              </w:rPr>
              <w:t>技能操作视频</w:t>
            </w:r>
            <w:r>
              <w:rPr>
                <w:rFonts w:hint="eastAsia" w:ascii="仿宋" w:hAnsi="仿宋" w:eastAsia="仿宋" w:cs="仿宋"/>
                <w:kern w:val="2"/>
                <w:szCs w:val="30"/>
              </w:rPr>
              <w:t>：分模块演示典型任务操作流程（如数据清洗、模型训练、部署调试）。</w:t>
            </w:r>
          </w:p>
          <w:p w14:paraId="2F8FA182">
            <w:pPr>
              <w:pStyle w:val="12"/>
              <w:shd w:val="clear" w:color="auto" w:fill="FFFFFF"/>
              <w:spacing w:before="0" w:beforeAutospacing="0" w:after="60" w:afterAutospacing="0" w:line="429" w:lineRule="atLeast"/>
              <w:rPr>
                <w:rFonts w:hint="eastAsia" w:ascii="仿宋" w:hAnsi="仿宋" w:eastAsia="仿宋" w:cs="仿宋"/>
                <w:kern w:val="2"/>
                <w:szCs w:val="30"/>
              </w:rPr>
            </w:pPr>
            <w:r>
              <w:rPr>
                <w:rFonts w:hint="eastAsia" w:ascii="仿宋" w:hAnsi="仿宋" w:eastAsia="仿宋" w:cs="仿宋"/>
                <w:b/>
                <w:bCs/>
                <w:kern w:val="2"/>
                <w:szCs w:val="30"/>
              </w:rPr>
              <w:t>（3）教学资源</w:t>
            </w:r>
          </w:p>
          <w:p w14:paraId="3433CD33">
            <w:pPr>
              <w:pStyle w:val="12"/>
              <w:shd w:val="clear" w:color="auto" w:fill="FFFFFF"/>
              <w:spacing w:before="0" w:beforeAutospacing="0" w:line="429" w:lineRule="atLeast"/>
              <w:rPr>
                <w:rFonts w:hint="eastAsia" w:ascii="仿宋" w:hAnsi="仿宋" w:eastAsia="仿宋" w:cs="仿宋"/>
                <w:kern w:val="2"/>
                <w:szCs w:val="30"/>
              </w:rPr>
            </w:pPr>
            <w:r>
              <w:rPr>
                <w:rFonts w:hint="eastAsia" w:ascii="仿宋" w:hAnsi="仿宋" w:eastAsia="仿宋" w:cs="仿宋"/>
                <w:b/>
                <w:bCs/>
                <w:kern w:val="2"/>
                <w:szCs w:val="30"/>
              </w:rPr>
              <w:t>教学方案</w:t>
            </w:r>
            <w:r>
              <w:rPr>
                <w:rFonts w:hint="eastAsia" w:ascii="仿宋" w:hAnsi="仿宋" w:eastAsia="仿宋" w:cs="仿宋"/>
                <w:kern w:val="2"/>
                <w:szCs w:val="30"/>
              </w:rPr>
              <w:t>：设计6个教学单元（含赛题解析），匹配课程标准。</w:t>
            </w:r>
          </w:p>
          <w:p w14:paraId="4253DBC1">
            <w:pPr>
              <w:pStyle w:val="12"/>
              <w:shd w:val="clear" w:color="auto" w:fill="FFFFFF"/>
              <w:spacing w:before="0" w:beforeAutospacing="0" w:after="60" w:afterAutospacing="0" w:line="429" w:lineRule="atLeast"/>
              <w:rPr>
                <w:rFonts w:hint="eastAsia" w:ascii="仿宋" w:hAnsi="仿宋" w:eastAsia="仿宋" w:cs="仿宋"/>
                <w:kern w:val="2"/>
                <w:szCs w:val="30"/>
              </w:rPr>
            </w:pPr>
            <w:r>
              <w:rPr>
                <w:rFonts w:hint="eastAsia" w:ascii="仿宋" w:hAnsi="仿宋" w:eastAsia="仿宋" w:cs="仿宋"/>
                <w:b/>
                <w:bCs/>
                <w:kern w:val="2"/>
                <w:szCs w:val="30"/>
              </w:rPr>
              <w:t>实训资源包</w:t>
            </w:r>
            <w:r>
              <w:rPr>
                <w:rFonts w:hint="eastAsia" w:ascii="仿宋" w:hAnsi="仿宋" w:eastAsia="仿宋" w:cs="仿宋"/>
                <w:kern w:val="2"/>
                <w:szCs w:val="30"/>
              </w:rPr>
              <w:t>：</w:t>
            </w:r>
          </w:p>
          <w:p w14:paraId="2622627B">
            <w:pPr>
              <w:pStyle w:val="12"/>
              <w:numPr>
                <w:ilvl w:val="2"/>
                <w:numId w:val="3"/>
              </w:numPr>
              <w:shd w:val="clear" w:color="auto" w:fill="FFFFFF"/>
              <w:spacing w:before="0" w:beforeAutospacing="0" w:line="429" w:lineRule="atLeast"/>
              <w:rPr>
                <w:rFonts w:hint="eastAsia" w:ascii="仿宋" w:hAnsi="仿宋" w:eastAsia="仿宋" w:cs="仿宋"/>
                <w:kern w:val="2"/>
                <w:szCs w:val="30"/>
              </w:rPr>
            </w:pPr>
            <w:r>
              <w:rPr>
                <w:rFonts w:hint="eastAsia" w:ascii="仿宋" w:hAnsi="仿宋" w:eastAsia="仿宋" w:cs="仿宋"/>
                <w:kern w:val="2"/>
                <w:szCs w:val="30"/>
              </w:rPr>
              <w:t>任务工单：10套企业级实训任务（如智能安防系统开发、工业质检模型优化）。</w:t>
            </w:r>
          </w:p>
          <w:p w14:paraId="1028BEEF">
            <w:pPr>
              <w:pStyle w:val="12"/>
              <w:numPr>
                <w:ilvl w:val="2"/>
                <w:numId w:val="3"/>
              </w:numPr>
              <w:shd w:val="clear" w:color="auto" w:fill="FFFFFF"/>
              <w:spacing w:before="0" w:beforeAutospacing="0" w:line="429" w:lineRule="atLeast"/>
              <w:rPr>
                <w:rFonts w:hint="eastAsia" w:ascii="仿宋" w:hAnsi="仿宋" w:eastAsia="仿宋" w:cs="仿宋"/>
                <w:kern w:val="2"/>
                <w:szCs w:val="30"/>
              </w:rPr>
            </w:pPr>
            <w:r>
              <w:rPr>
                <w:rFonts w:hint="eastAsia" w:ascii="仿宋" w:hAnsi="仿宋" w:eastAsia="仿宋" w:cs="仿宋"/>
                <w:kern w:val="2"/>
                <w:szCs w:val="30"/>
              </w:rPr>
              <w:t>微课程：15个核心技能点微课（含代码演示视频、动画图解）。</w:t>
            </w:r>
          </w:p>
          <w:p w14:paraId="06319DC9">
            <w:pPr>
              <w:pStyle w:val="12"/>
              <w:shd w:val="clear" w:color="auto" w:fill="FFFFFF"/>
              <w:spacing w:before="0" w:beforeAutospacing="0" w:line="429" w:lineRule="atLeast"/>
              <w:rPr>
                <w:rFonts w:hint="eastAsia" w:ascii="仿宋" w:hAnsi="仿宋" w:eastAsia="仿宋" w:cs="仿宋"/>
                <w:kern w:val="2"/>
                <w:szCs w:val="30"/>
              </w:rPr>
            </w:pPr>
            <w:r>
              <w:rPr>
                <w:rFonts w:hint="eastAsia" w:ascii="仿宋" w:hAnsi="仿宋" w:eastAsia="仿宋" w:cs="仿宋"/>
                <w:b/>
                <w:bCs/>
                <w:kern w:val="2"/>
                <w:szCs w:val="30"/>
              </w:rPr>
              <w:t>教材开发</w:t>
            </w:r>
            <w:r>
              <w:rPr>
                <w:rFonts w:hint="eastAsia" w:ascii="仿宋" w:hAnsi="仿宋" w:eastAsia="仿宋" w:cs="仿宋"/>
                <w:kern w:val="2"/>
                <w:szCs w:val="30"/>
              </w:rPr>
              <w:t>：编写《人工智能赛项实战工作手册》，整合竞赛案例与行业应用场景。</w:t>
            </w:r>
          </w:p>
          <w:p w14:paraId="387EDC05">
            <w:pPr>
              <w:pStyle w:val="12"/>
              <w:shd w:val="clear" w:color="auto" w:fill="FFFFFF"/>
              <w:spacing w:before="206" w:beforeAutospacing="0" w:after="206" w:afterAutospacing="0" w:line="429" w:lineRule="atLeast"/>
              <w:rPr>
                <w:rFonts w:hint="eastAsia" w:ascii="仿宋" w:hAnsi="仿宋" w:eastAsia="仿宋" w:cs="仿宋"/>
                <w:kern w:val="2"/>
                <w:szCs w:val="30"/>
              </w:rPr>
            </w:pPr>
            <w:r>
              <w:rPr>
                <w:rFonts w:hint="eastAsia" w:ascii="仿宋" w:hAnsi="仿宋" w:eastAsia="仿宋" w:cs="仿宋"/>
                <w:b/>
                <w:bCs/>
                <w:kern w:val="2"/>
                <w:szCs w:val="30"/>
              </w:rPr>
              <w:t>2.拓展资源</w:t>
            </w:r>
          </w:p>
          <w:p w14:paraId="75CB87E6">
            <w:pPr>
              <w:pStyle w:val="12"/>
              <w:shd w:val="clear" w:color="auto" w:fill="FFFFFF"/>
              <w:spacing w:before="0" w:beforeAutospacing="0" w:line="429" w:lineRule="atLeast"/>
              <w:rPr>
                <w:rFonts w:hint="eastAsia" w:ascii="仿宋" w:hAnsi="仿宋" w:eastAsia="仿宋" w:cs="仿宋"/>
                <w:kern w:val="2"/>
                <w:szCs w:val="30"/>
              </w:rPr>
            </w:pPr>
            <w:r>
              <w:rPr>
                <w:rFonts w:hint="eastAsia" w:ascii="仿宋" w:hAnsi="仿宋" w:eastAsia="仿宋" w:cs="仿宋"/>
                <w:b/>
                <w:bCs/>
                <w:kern w:val="2"/>
                <w:szCs w:val="30"/>
              </w:rPr>
              <w:t>（1）赛题资源库</w:t>
            </w:r>
            <w:r>
              <w:rPr>
                <w:rFonts w:hint="eastAsia" w:ascii="仿宋" w:hAnsi="仿宋" w:eastAsia="仿宋" w:cs="仿宋"/>
                <w:kern w:val="2"/>
                <w:szCs w:val="30"/>
              </w:rPr>
              <w:t>：收集并脱敏处理3届赛题，配套解题思路及企业评审点评视频。</w:t>
            </w:r>
          </w:p>
          <w:p w14:paraId="1C298BD3">
            <w:pPr>
              <w:pStyle w:val="12"/>
              <w:shd w:val="clear" w:color="auto" w:fill="FFFFFF"/>
              <w:spacing w:before="0" w:beforeAutospacing="0" w:line="429" w:lineRule="atLeast"/>
              <w:rPr>
                <w:rFonts w:hint="eastAsia" w:ascii="仿宋" w:hAnsi="仿宋" w:eastAsia="仿宋" w:cs="仿宋"/>
                <w:kern w:val="2"/>
                <w:szCs w:val="30"/>
              </w:rPr>
            </w:pPr>
            <w:r>
              <w:rPr>
                <w:rFonts w:hint="eastAsia" w:ascii="仿宋" w:hAnsi="仿宋" w:eastAsia="仿宋" w:cs="仿宋"/>
                <w:b/>
                <w:bCs/>
                <w:kern w:val="2"/>
                <w:szCs w:val="30"/>
              </w:rPr>
              <w:t>（2）行业案例库</w:t>
            </w:r>
            <w:r>
              <w:rPr>
                <w:rFonts w:hint="eastAsia" w:ascii="仿宋" w:hAnsi="仿宋" w:eastAsia="仿宋" w:cs="仿宋"/>
                <w:kern w:val="2"/>
                <w:szCs w:val="30"/>
              </w:rPr>
              <w:t>：联合行业头部企业开发10个真实项目案例（如智慧农业、医疗影像分析）。</w:t>
            </w:r>
          </w:p>
          <w:p w14:paraId="00E5EE81">
            <w:pPr>
              <w:pStyle w:val="12"/>
              <w:shd w:val="clear" w:color="auto" w:fill="FFFFFF"/>
              <w:spacing w:before="48" w:beforeAutospacing="0" w:after="48" w:line="429" w:lineRule="atLeast"/>
              <w:rPr>
                <w:rFonts w:hint="eastAsia" w:ascii="仿宋" w:hAnsi="仿宋" w:eastAsia="仿宋" w:cs="仿宋"/>
                <w:kern w:val="2"/>
                <w:szCs w:val="30"/>
              </w:rPr>
            </w:pPr>
            <w:r>
              <w:rPr>
                <w:rFonts w:hint="eastAsia" w:ascii="仿宋" w:hAnsi="仿宋" w:eastAsia="仿宋" w:cs="仿宋"/>
                <w:b/>
                <w:bCs/>
                <w:kern w:val="2"/>
                <w:szCs w:val="30"/>
              </w:rPr>
              <w:t>（3）素材资源库</w:t>
            </w:r>
            <w:r>
              <w:rPr>
                <w:rFonts w:hint="eastAsia" w:ascii="仿宋" w:hAnsi="仿宋" w:eastAsia="仿宋" w:cs="仿宋"/>
                <w:kern w:val="2"/>
                <w:szCs w:val="30"/>
              </w:rPr>
              <w:t>：开源数据集、算法模板、部署工具包，支持二次开发。</w:t>
            </w:r>
          </w:p>
          <w:p w14:paraId="0FFB7DF8">
            <w:pPr>
              <w:pStyle w:val="11"/>
              <w:numPr>
                <w:ilvl w:val="0"/>
                <w:numId w:val="3"/>
              </w:numPr>
              <w:snapToGrid w:val="0"/>
              <w:spacing w:before="62" w:after="62" w:line="560" w:lineRule="exact"/>
              <w:ind w:firstLineChars="0"/>
              <w:outlineLvl w:val="0"/>
              <w:rPr>
                <w:rFonts w:hint="eastAsia" w:ascii="黑体" w:hAnsi="黑体" w:eastAsia="黑体" w:cs="黑体"/>
                <w:sz w:val="24"/>
                <w:szCs w:val="24"/>
              </w:rPr>
            </w:pPr>
            <w:r>
              <w:rPr>
                <w:rFonts w:hint="eastAsia" w:ascii="黑体" w:hAnsi="黑体" w:eastAsia="黑体" w:cs="黑体"/>
                <w:sz w:val="24"/>
                <w:szCs w:val="24"/>
              </w:rPr>
              <w:t>方法途径</w:t>
            </w:r>
          </w:p>
          <w:p w14:paraId="3E1C41ED">
            <w:pPr>
              <w:snapToGrid w:val="0"/>
              <w:spacing w:before="62" w:after="62" w:line="560" w:lineRule="exact"/>
              <w:ind w:left="240" w:firstLine="0" w:firstLineChars="0"/>
              <w:outlineLvl w:val="0"/>
              <w:rPr>
                <w:rFonts w:hint="eastAsia" w:ascii="仿宋" w:hAnsi="仿宋" w:eastAsia="仿宋" w:cs="仿宋"/>
                <w:sz w:val="24"/>
                <w:szCs w:val="30"/>
              </w:rPr>
            </w:pPr>
            <w:r>
              <w:rPr>
                <w:rFonts w:hint="eastAsia" w:ascii="仿宋" w:hAnsi="仿宋" w:eastAsia="仿宋" w:cs="仿宋"/>
                <w:sz w:val="24"/>
                <w:szCs w:val="30"/>
              </w:rPr>
              <w:t>1.校企协同开发。与省内人工智能企业共建资源开发团队，确保内容贴合行业标准。邀请企业工程师参与技术文档审核及案例设计。</w:t>
            </w:r>
          </w:p>
          <w:p w14:paraId="5D19F43B">
            <w:pPr>
              <w:snapToGrid w:val="0"/>
              <w:spacing w:before="62" w:after="62" w:line="560" w:lineRule="exact"/>
              <w:ind w:left="240" w:firstLine="0" w:firstLineChars="0"/>
              <w:outlineLvl w:val="0"/>
              <w:rPr>
                <w:rFonts w:hint="eastAsia" w:ascii="仿宋" w:hAnsi="仿宋" w:eastAsia="仿宋" w:cs="仿宋"/>
                <w:sz w:val="24"/>
                <w:szCs w:val="30"/>
              </w:rPr>
            </w:pPr>
            <w:r>
              <w:rPr>
                <w:rFonts w:hint="eastAsia" w:ascii="仿宋" w:hAnsi="仿宋" w:eastAsia="仿宋" w:cs="仿宋"/>
                <w:sz w:val="24"/>
                <w:szCs w:val="30"/>
              </w:rPr>
              <w:t>2.模块化分工。</w:t>
            </w:r>
          </w:p>
          <w:p w14:paraId="47BB5665">
            <w:pPr>
              <w:snapToGrid w:val="0"/>
              <w:spacing w:before="62" w:after="62" w:line="560" w:lineRule="exact"/>
              <w:ind w:left="240" w:firstLine="0" w:firstLineChars="0"/>
              <w:outlineLvl w:val="0"/>
              <w:rPr>
                <w:rFonts w:hint="eastAsia" w:ascii="仿宋" w:hAnsi="仿宋" w:eastAsia="仿宋" w:cs="仿宋"/>
                <w:sz w:val="24"/>
                <w:szCs w:val="30"/>
              </w:rPr>
            </w:pPr>
            <w:r>
              <w:rPr>
                <w:rFonts w:hint="eastAsia" w:ascii="仿宋" w:hAnsi="仿宋" w:eastAsia="仿宋" w:cs="仿宋"/>
                <w:sz w:val="24"/>
                <w:szCs w:val="30"/>
              </w:rPr>
              <w:t>教学资源组：职业院校教师主导设计教学单元，企业专家提供技术验证。</w:t>
            </w:r>
          </w:p>
          <w:p w14:paraId="78EE4E29">
            <w:pPr>
              <w:snapToGrid w:val="0"/>
              <w:spacing w:before="62" w:after="62" w:line="560" w:lineRule="exact"/>
              <w:ind w:firstLine="240" w:firstLineChars="100"/>
              <w:outlineLvl w:val="0"/>
              <w:rPr>
                <w:rFonts w:hint="eastAsia" w:ascii="仿宋" w:hAnsi="仿宋" w:eastAsia="仿宋" w:cs="仿宋"/>
                <w:sz w:val="24"/>
                <w:szCs w:val="30"/>
              </w:rPr>
            </w:pPr>
            <w:r>
              <w:rPr>
                <w:rFonts w:hint="eastAsia" w:ascii="仿宋" w:hAnsi="仿宋" w:eastAsia="仿宋" w:cs="仿宋"/>
                <w:sz w:val="24"/>
                <w:szCs w:val="30"/>
              </w:rPr>
              <w:t>媒体组：专业团队制作视频，选手参与实景拍摄。</w:t>
            </w:r>
          </w:p>
          <w:p w14:paraId="69396331">
            <w:pPr>
              <w:snapToGrid w:val="0"/>
              <w:spacing w:before="62" w:after="62" w:line="560" w:lineRule="exact"/>
              <w:ind w:firstLine="240" w:firstLineChars="100"/>
              <w:outlineLvl w:val="0"/>
              <w:rPr>
                <w:rFonts w:hint="eastAsia" w:ascii="仿宋" w:hAnsi="仿宋" w:eastAsia="仿宋" w:cs="仿宋"/>
                <w:sz w:val="24"/>
                <w:szCs w:val="30"/>
              </w:rPr>
            </w:pPr>
            <w:r>
              <w:rPr>
                <w:rFonts w:hint="eastAsia" w:ascii="仿宋" w:hAnsi="仿宋" w:eastAsia="仿宋" w:cs="仿宋"/>
                <w:sz w:val="24"/>
                <w:szCs w:val="30"/>
              </w:rPr>
              <w:t>3.技术标准化。所有资源严格遵循组委会技术格式要求（如视频H.264编码、图文分辨率≥1024×768）。用GitHub托管代码资源，确保可复用性。</w:t>
            </w:r>
          </w:p>
          <w:p w14:paraId="599F4902">
            <w:pPr>
              <w:pStyle w:val="11"/>
              <w:numPr>
                <w:ilvl w:val="0"/>
                <w:numId w:val="3"/>
              </w:numPr>
              <w:snapToGrid w:val="0"/>
              <w:spacing w:before="62" w:after="62" w:line="560" w:lineRule="exact"/>
              <w:ind w:firstLineChars="0"/>
              <w:outlineLvl w:val="0"/>
              <w:rPr>
                <w:rFonts w:hint="eastAsia" w:ascii="黑体" w:hAnsi="黑体" w:eastAsia="黑体" w:cs="黑体"/>
                <w:sz w:val="24"/>
                <w:szCs w:val="24"/>
              </w:rPr>
            </w:pPr>
            <w:r>
              <w:rPr>
                <w:rFonts w:hint="eastAsia" w:ascii="黑体" w:hAnsi="黑体" w:eastAsia="黑体" w:cs="黑体"/>
                <w:sz w:val="24"/>
                <w:szCs w:val="24"/>
              </w:rPr>
              <w:t>预期成果</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073"/>
              <w:gridCol w:w="4199"/>
              <w:gridCol w:w="2787"/>
            </w:tblGrid>
            <w:tr w14:paraId="4A89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blHeader/>
              </w:trPr>
              <w:tc>
                <w:tcPr>
                  <w:tcW w:w="0" w:type="auto"/>
                  <w:shd w:val="clear" w:color="auto" w:fill="FFFFFF"/>
                  <w:tcMar>
                    <w:top w:w="150" w:type="dxa"/>
                    <w:left w:w="0" w:type="dxa"/>
                    <w:bottom w:w="150" w:type="dxa"/>
                    <w:right w:w="150" w:type="dxa"/>
                  </w:tcMar>
                  <w:vAlign w:val="center"/>
                </w:tcPr>
                <w:p w14:paraId="4EC0B561">
                  <w:pPr>
                    <w:widowControl/>
                    <w:spacing w:before="0" w:beforeLines="0" w:after="0" w:afterLines="0" w:line="240" w:lineRule="auto"/>
                    <w:ind w:firstLine="0" w:firstLineChars="0"/>
                    <w:jc w:val="left"/>
                    <w:rPr>
                      <w:rFonts w:hint="eastAsia" w:ascii="仿宋" w:hAnsi="仿宋" w:eastAsia="仿宋" w:cs="Segoe UI"/>
                      <w:b/>
                      <w:bCs/>
                      <w:color w:val="404040"/>
                      <w:kern w:val="0"/>
                      <w:sz w:val="20"/>
                      <w:szCs w:val="23"/>
                    </w:rPr>
                  </w:pPr>
                  <w:r>
                    <w:rPr>
                      <w:rFonts w:ascii="仿宋" w:hAnsi="仿宋" w:eastAsia="仿宋" w:cs="Segoe UI"/>
                      <w:b/>
                      <w:bCs/>
                      <w:color w:val="404040"/>
                      <w:kern w:val="0"/>
                      <w:sz w:val="20"/>
                      <w:szCs w:val="23"/>
                    </w:rPr>
                    <w:t>资源类型</w:t>
                  </w:r>
                </w:p>
              </w:tc>
              <w:tc>
                <w:tcPr>
                  <w:tcW w:w="0" w:type="auto"/>
                  <w:shd w:val="clear" w:color="auto" w:fill="FFFFFF"/>
                  <w:tcMar>
                    <w:top w:w="150" w:type="dxa"/>
                    <w:left w:w="150" w:type="dxa"/>
                    <w:bottom w:w="150" w:type="dxa"/>
                    <w:right w:w="150" w:type="dxa"/>
                  </w:tcMar>
                  <w:vAlign w:val="center"/>
                </w:tcPr>
                <w:p w14:paraId="51FB3A68">
                  <w:pPr>
                    <w:widowControl/>
                    <w:spacing w:before="0" w:beforeLines="0" w:after="0" w:afterLines="0" w:line="240" w:lineRule="auto"/>
                    <w:ind w:firstLine="0" w:firstLineChars="0"/>
                    <w:jc w:val="left"/>
                    <w:rPr>
                      <w:rFonts w:hint="eastAsia" w:ascii="仿宋" w:hAnsi="仿宋" w:eastAsia="仿宋" w:cs="Segoe UI"/>
                      <w:b/>
                      <w:bCs/>
                      <w:color w:val="404040"/>
                      <w:kern w:val="0"/>
                      <w:sz w:val="20"/>
                      <w:szCs w:val="23"/>
                    </w:rPr>
                  </w:pPr>
                  <w:r>
                    <w:rPr>
                      <w:rFonts w:ascii="仿宋" w:hAnsi="仿宋" w:eastAsia="仿宋" w:cs="Segoe UI"/>
                      <w:b/>
                      <w:bCs/>
                      <w:color w:val="404040"/>
                      <w:kern w:val="0"/>
                      <w:sz w:val="20"/>
                      <w:szCs w:val="23"/>
                    </w:rPr>
                    <w:t>成果清单</w:t>
                  </w:r>
                </w:p>
              </w:tc>
              <w:tc>
                <w:tcPr>
                  <w:tcW w:w="0" w:type="auto"/>
                  <w:shd w:val="clear" w:color="auto" w:fill="FFFFFF"/>
                  <w:tcMar>
                    <w:top w:w="150" w:type="dxa"/>
                    <w:left w:w="150" w:type="dxa"/>
                    <w:bottom w:w="150" w:type="dxa"/>
                    <w:right w:w="150" w:type="dxa"/>
                  </w:tcMar>
                  <w:vAlign w:val="center"/>
                </w:tcPr>
                <w:p w14:paraId="2DFC7E66">
                  <w:pPr>
                    <w:widowControl/>
                    <w:spacing w:before="0" w:beforeLines="0" w:after="0" w:afterLines="0" w:line="240" w:lineRule="auto"/>
                    <w:ind w:firstLine="0" w:firstLineChars="0"/>
                    <w:jc w:val="left"/>
                    <w:rPr>
                      <w:rFonts w:hint="eastAsia" w:ascii="仿宋" w:hAnsi="仿宋" w:eastAsia="仿宋" w:cs="Segoe UI"/>
                      <w:b/>
                      <w:bCs/>
                      <w:color w:val="404040"/>
                      <w:kern w:val="0"/>
                      <w:sz w:val="20"/>
                      <w:szCs w:val="23"/>
                    </w:rPr>
                  </w:pPr>
                  <w:r>
                    <w:rPr>
                      <w:rFonts w:ascii="仿宋" w:hAnsi="仿宋" w:eastAsia="仿宋" w:cs="Segoe UI"/>
                      <w:b/>
                      <w:bCs/>
                      <w:color w:val="404040"/>
                      <w:kern w:val="0"/>
                      <w:sz w:val="20"/>
                      <w:szCs w:val="23"/>
                    </w:rPr>
                    <w:t>产业对接价值</w:t>
                  </w:r>
                </w:p>
              </w:tc>
            </w:tr>
            <w:tr w14:paraId="3D9B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gridSpan w:val="3"/>
                  <w:shd w:val="clear" w:color="auto" w:fill="FFFFFF"/>
                  <w:tcMar>
                    <w:top w:w="150" w:type="dxa"/>
                    <w:left w:w="0" w:type="dxa"/>
                    <w:bottom w:w="150" w:type="dxa"/>
                    <w:right w:w="150" w:type="dxa"/>
                  </w:tcMar>
                  <w:vAlign w:val="center"/>
                </w:tcPr>
                <w:p w14:paraId="2795EC6B">
                  <w:pPr>
                    <w:widowControl/>
                    <w:spacing w:before="0" w:beforeLines="0" w:after="0" w:afterLines="0" w:line="240" w:lineRule="auto"/>
                    <w:ind w:firstLine="0" w:firstLineChars="0"/>
                    <w:jc w:val="left"/>
                    <w:rPr>
                      <w:rFonts w:hint="eastAsia" w:ascii="仿宋" w:hAnsi="仿宋" w:eastAsia="仿宋"/>
                      <w:kern w:val="0"/>
                      <w:sz w:val="20"/>
                      <w:szCs w:val="20"/>
                    </w:rPr>
                  </w:pPr>
                  <w:r>
                    <w:rPr>
                      <w:rFonts w:ascii="仿宋" w:hAnsi="仿宋" w:eastAsia="仿宋" w:cs="Segoe UI"/>
                      <w:b/>
                      <w:bCs/>
                      <w:color w:val="404040"/>
                      <w:kern w:val="0"/>
                      <w:sz w:val="20"/>
                      <w:szCs w:val="23"/>
                    </w:rPr>
                    <w:t>基本资源</w:t>
                  </w:r>
                </w:p>
              </w:tc>
            </w:tr>
            <w:tr w14:paraId="3684D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FFFFF"/>
                  <w:tcMar>
                    <w:top w:w="150" w:type="dxa"/>
                    <w:left w:w="0" w:type="dxa"/>
                    <w:bottom w:w="150" w:type="dxa"/>
                    <w:right w:w="150" w:type="dxa"/>
                  </w:tcMar>
                  <w:vAlign w:val="center"/>
                </w:tcPr>
                <w:p w14:paraId="11FCEDA5">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宣传片/风采片</w:t>
                  </w:r>
                </w:p>
              </w:tc>
              <w:tc>
                <w:tcPr>
                  <w:tcW w:w="0" w:type="auto"/>
                  <w:shd w:val="clear" w:color="auto" w:fill="FFFFFF"/>
                  <w:tcMar>
                    <w:top w:w="150" w:type="dxa"/>
                    <w:left w:w="150" w:type="dxa"/>
                    <w:bottom w:w="150" w:type="dxa"/>
                    <w:right w:w="150" w:type="dxa"/>
                  </w:tcMar>
                  <w:vAlign w:val="center"/>
                </w:tcPr>
                <w:p w14:paraId="2F357C3A">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2部高清视频（MP4）</w:t>
                  </w:r>
                </w:p>
              </w:tc>
              <w:tc>
                <w:tcPr>
                  <w:tcW w:w="0" w:type="auto"/>
                  <w:shd w:val="clear" w:color="auto" w:fill="FFFFFF"/>
                  <w:tcMar>
                    <w:top w:w="150" w:type="dxa"/>
                    <w:left w:w="150" w:type="dxa"/>
                    <w:bottom w:w="150" w:type="dxa"/>
                    <w:right w:w="150" w:type="dxa"/>
                  </w:tcMar>
                  <w:vAlign w:val="center"/>
                </w:tcPr>
                <w:p w14:paraId="31EB9A22">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提升赛事影响力，吸引企业关注人才储备</w:t>
                  </w:r>
                </w:p>
              </w:tc>
            </w:tr>
            <w:tr w14:paraId="7BD50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FFFFF"/>
                  <w:tcMar>
                    <w:top w:w="150" w:type="dxa"/>
                    <w:left w:w="0" w:type="dxa"/>
                    <w:bottom w:w="150" w:type="dxa"/>
                    <w:right w:w="150" w:type="dxa"/>
                  </w:tcMar>
                  <w:vAlign w:val="center"/>
                </w:tcPr>
                <w:p w14:paraId="20E2D81E">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技术概要</w:t>
                  </w:r>
                </w:p>
              </w:tc>
              <w:tc>
                <w:tcPr>
                  <w:tcW w:w="0" w:type="auto"/>
                  <w:shd w:val="clear" w:color="auto" w:fill="FFFFFF"/>
                  <w:tcMar>
                    <w:top w:w="150" w:type="dxa"/>
                    <w:left w:w="150" w:type="dxa"/>
                    <w:bottom w:w="150" w:type="dxa"/>
                    <w:right w:w="150" w:type="dxa"/>
                  </w:tcMar>
                  <w:vAlign w:val="center"/>
                </w:tcPr>
                <w:p w14:paraId="3989AEDF">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技术手册（DOCX）</w:t>
                  </w:r>
                  <w:r>
                    <w:rPr>
                      <w:rFonts w:hint="eastAsia" w:ascii="仿宋" w:hAnsi="仿宋" w:eastAsia="仿宋" w:cs="Segoe UI"/>
                      <w:color w:val="404040"/>
                      <w:kern w:val="0"/>
                      <w:sz w:val="20"/>
                      <w:szCs w:val="23"/>
                    </w:rPr>
                    <w:t>+</w:t>
                  </w:r>
                  <w:r>
                    <w:rPr>
                      <w:rFonts w:ascii="仿宋" w:hAnsi="仿宋" w:eastAsia="仿宋" w:cs="Segoe UI"/>
                      <w:color w:val="404040"/>
                      <w:kern w:val="0"/>
                      <w:sz w:val="20"/>
                      <w:szCs w:val="23"/>
                    </w:rPr>
                    <w:t>操作演示视频（5个）</w:t>
                  </w:r>
                </w:p>
              </w:tc>
              <w:tc>
                <w:tcPr>
                  <w:tcW w:w="0" w:type="auto"/>
                  <w:shd w:val="clear" w:color="auto" w:fill="FFFFFF"/>
                  <w:tcMar>
                    <w:top w:w="150" w:type="dxa"/>
                    <w:left w:w="150" w:type="dxa"/>
                    <w:bottom w:w="150" w:type="dxa"/>
                    <w:right w:w="150" w:type="dxa"/>
                  </w:tcMar>
                  <w:vAlign w:val="center"/>
                </w:tcPr>
                <w:p w14:paraId="72066EC9">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规范行业技能标准，减少企业培训成本</w:t>
                  </w:r>
                </w:p>
              </w:tc>
            </w:tr>
            <w:tr w14:paraId="7302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FFFFF"/>
                  <w:tcMar>
                    <w:top w:w="150" w:type="dxa"/>
                    <w:left w:w="0" w:type="dxa"/>
                    <w:bottom w:w="150" w:type="dxa"/>
                    <w:right w:w="150" w:type="dxa"/>
                  </w:tcMar>
                  <w:vAlign w:val="center"/>
                </w:tcPr>
                <w:p w14:paraId="35FB5BB8">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教学资源包</w:t>
                  </w:r>
                </w:p>
              </w:tc>
              <w:tc>
                <w:tcPr>
                  <w:tcW w:w="0" w:type="auto"/>
                  <w:shd w:val="clear" w:color="auto" w:fill="FFFFFF"/>
                  <w:tcMar>
                    <w:top w:w="150" w:type="dxa"/>
                    <w:left w:w="150" w:type="dxa"/>
                    <w:bottom w:w="150" w:type="dxa"/>
                    <w:right w:w="150" w:type="dxa"/>
                  </w:tcMar>
                  <w:vAlign w:val="center"/>
                </w:tcPr>
                <w:p w14:paraId="06FA6129">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教学方案6套、实训任务10项、微课15个、《工作手册》1本</w:t>
                  </w:r>
                </w:p>
              </w:tc>
              <w:tc>
                <w:tcPr>
                  <w:tcW w:w="0" w:type="auto"/>
                  <w:shd w:val="clear" w:color="auto" w:fill="FFFFFF"/>
                  <w:tcMar>
                    <w:top w:w="150" w:type="dxa"/>
                    <w:left w:w="150" w:type="dxa"/>
                    <w:bottom w:w="150" w:type="dxa"/>
                    <w:right w:w="150" w:type="dxa"/>
                  </w:tcMar>
                  <w:vAlign w:val="center"/>
                </w:tcPr>
                <w:p w14:paraId="4E6E2807">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推动课赛融通，缩短学生岗位适应期</w:t>
                  </w:r>
                </w:p>
              </w:tc>
            </w:tr>
            <w:tr w14:paraId="258C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0" w:type="auto"/>
                  <w:gridSpan w:val="3"/>
                  <w:shd w:val="clear" w:color="auto" w:fill="FFFFFF"/>
                  <w:tcMar>
                    <w:top w:w="150" w:type="dxa"/>
                    <w:left w:w="0" w:type="dxa"/>
                    <w:bottom w:w="150" w:type="dxa"/>
                    <w:right w:w="150" w:type="dxa"/>
                  </w:tcMar>
                  <w:vAlign w:val="center"/>
                </w:tcPr>
                <w:p w14:paraId="3F68763D">
                  <w:pPr>
                    <w:widowControl/>
                    <w:spacing w:before="0" w:beforeLines="0" w:after="0" w:afterLines="0" w:line="240" w:lineRule="auto"/>
                    <w:ind w:firstLine="0" w:firstLineChars="0"/>
                    <w:jc w:val="left"/>
                    <w:rPr>
                      <w:rFonts w:hint="eastAsia" w:ascii="仿宋" w:hAnsi="仿宋" w:eastAsia="仿宋"/>
                      <w:kern w:val="0"/>
                      <w:sz w:val="20"/>
                      <w:szCs w:val="20"/>
                    </w:rPr>
                  </w:pPr>
                  <w:r>
                    <w:rPr>
                      <w:rFonts w:ascii="仿宋" w:hAnsi="仿宋" w:eastAsia="仿宋" w:cs="Segoe UI"/>
                      <w:b/>
                      <w:bCs/>
                      <w:color w:val="404040"/>
                      <w:kern w:val="0"/>
                      <w:sz w:val="20"/>
                      <w:szCs w:val="23"/>
                    </w:rPr>
                    <w:t>拓展资源</w:t>
                  </w:r>
                </w:p>
              </w:tc>
            </w:tr>
            <w:tr w14:paraId="37911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FFFFF"/>
                  <w:tcMar>
                    <w:top w:w="150" w:type="dxa"/>
                    <w:left w:w="0" w:type="dxa"/>
                    <w:bottom w:w="150" w:type="dxa"/>
                    <w:right w:w="150" w:type="dxa"/>
                  </w:tcMar>
                  <w:vAlign w:val="center"/>
                </w:tcPr>
                <w:p w14:paraId="28A434E1">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赛题库</w:t>
                  </w:r>
                </w:p>
              </w:tc>
              <w:tc>
                <w:tcPr>
                  <w:tcW w:w="0" w:type="auto"/>
                  <w:shd w:val="clear" w:color="auto" w:fill="FFFFFF"/>
                  <w:tcMar>
                    <w:top w:w="150" w:type="dxa"/>
                    <w:left w:w="150" w:type="dxa"/>
                    <w:bottom w:w="150" w:type="dxa"/>
                    <w:right w:w="150" w:type="dxa"/>
                  </w:tcMar>
                  <w:vAlign w:val="center"/>
                </w:tcPr>
                <w:p w14:paraId="3E8D6970">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3届赛题及解析（含企业评点视频）</w:t>
                  </w:r>
                </w:p>
              </w:tc>
              <w:tc>
                <w:tcPr>
                  <w:tcW w:w="0" w:type="auto"/>
                  <w:shd w:val="clear" w:color="auto" w:fill="FFFFFF"/>
                  <w:tcMar>
                    <w:top w:w="150" w:type="dxa"/>
                    <w:left w:w="150" w:type="dxa"/>
                    <w:bottom w:w="150" w:type="dxa"/>
                    <w:right w:w="150" w:type="dxa"/>
                  </w:tcMar>
                  <w:vAlign w:val="center"/>
                </w:tcPr>
                <w:p w14:paraId="5212D563">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为企业提供人才能力评估工具</w:t>
                  </w:r>
                </w:p>
              </w:tc>
            </w:tr>
            <w:tr w14:paraId="59EE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FFFFF"/>
                  <w:tcMar>
                    <w:top w:w="150" w:type="dxa"/>
                    <w:left w:w="0" w:type="dxa"/>
                    <w:bottom w:w="150" w:type="dxa"/>
                    <w:right w:w="150" w:type="dxa"/>
                  </w:tcMar>
                  <w:vAlign w:val="center"/>
                </w:tcPr>
                <w:p w14:paraId="557D66A4">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行业案例库</w:t>
                  </w:r>
                </w:p>
              </w:tc>
              <w:tc>
                <w:tcPr>
                  <w:tcW w:w="0" w:type="auto"/>
                  <w:shd w:val="clear" w:color="auto" w:fill="FFFFFF"/>
                  <w:tcMar>
                    <w:top w:w="150" w:type="dxa"/>
                    <w:left w:w="150" w:type="dxa"/>
                    <w:bottom w:w="150" w:type="dxa"/>
                    <w:right w:w="150" w:type="dxa"/>
                  </w:tcMar>
                  <w:vAlign w:val="center"/>
                </w:tcPr>
                <w:p w14:paraId="46D78EC0">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10个真实项目案例（含数据、代码、部署文档）</w:t>
                  </w:r>
                </w:p>
              </w:tc>
              <w:tc>
                <w:tcPr>
                  <w:tcW w:w="0" w:type="auto"/>
                  <w:shd w:val="clear" w:color="auto" w:fill="FFFFFF"/>
                  <w:tcMar>
                    <w:top w:w="150" w:type="dxa"/>
                    <w:left w:w="150" w:type="dxa"/>
                    <w:bottom w:w="150" w:type="dxa"/>
                    <w:right w:w="150" w:type="dxa"/>
                  </w:tcMar>
                  <w:vAlign w:val="center"/>
                </w:tcPr>
                <w:p w14:paraId="568C282D">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助力院校教学对接产业前沿需求</w:t>
                  </w:r>
                </w:p>
              </w:tc>
            </w:tr>
            <w:tr w14:paraId="18A5A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FFFFFF"/>
                  <w:tcMar>
                    <w:top w:w="150" w:type="dxa"/>
                    <w:left w:w="0" w:type="dxa"/>
                    <w:bottom w:w="150" w:type="dxa"/>
                    <w:right w:w="150" w:type="dxa"/>
                  </w:tcMar>
                  <w:vAlign w:val="center"/>
                </w:tcPr>
                <w:p w14:paraId="20E81102">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素材资源库</w:t>
                  </w:r>
                </w:p>
              </w:tc>
              <w:tc>
                <w:tcPr>
                  <w:tcW w:w="0" w:type="auto"/>
                  <w:shd w:val="clear" w:color="auto" w:fill="FFFFFF"/>
                  <w:tcMar>
                    <w:top w:w="150" w:type="dxa"/>
                    <w:left w:w="150" w:type="dxa"/>
                    <w:bottom w:w="150" w:type="dxa"/>
                    <w:right w:w="150" w:type="dxa"/>
                  </w:tcMar>
                  <w:vAlign w:val="center"/>
                </w:tcPr>
                <w:p w14:paraId="01E12B42">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开源数据集20GB、算法工具包5套</w:t>
                  </w:r>
                </w:p>
              </w:tc>
              <w:tc>
                <w:tcPr>
                  <w:tcW w:w="0" w:type="auto"/>
                  <w:shd w:val="clear" w:color="auto" w:fill="FFFFFF"/>
                  <w:tcMar>
                    <w:top w:w="150" w:type="dxa"/>
                    <w:left w:w="150" w:type="dxa"/>
                    <w:bottom w:w="150" w:type="dxa"/>
                    <w:right w:w="150" w:type="dxa"/>
                  </w:tcMar>
                  <w:vAlign w:val="center"/>
                </w:tcPr>
                <w:p w14:paraId="364538ED">
                  <w:pPr>
                    <w:widowControl/>
                    <w:spacing w:before="0" w:beforeLines="0" w:after="0" w:afterLines="0" w:line="240" w:lineRule="auto"/>
                    <w:ind w:firstLine="0" w:firstLineChars="0"/>
                    <w:jc w:val="left"/>
                    <w:rPr>
                      <w:rFonts w:hint="eastAsia" w:ascii="仿宋" w:hAnsi="仿宋" w:eastAsia="仿宋" w:cs="Segoe UI"/>
                      <w:color w:val="404040"/>
                      <w:kern w:val="0"/>
                      <w:sz w:val="20"/>
                      <w:szCs w:val="23"/>
                    </w:rPr>
                  </w:pPr>
                  <w:r>
                    <w:rPr>
                      <w:rFonts w:ascii="仿宋" w:hAnsi="仿宋" w:eastAsia="仿宋" w:cs="Segoe UI"/>
                      <w:color w:val="404040"/>
                      <w:kern w:val="0"/>
                      <w:sz w:val="20"/>
                      <w:szCs w:val="23"/>
                    </w:rPr>
                    <w:t>降低中小企业AI研发门槛</w:t>
                  </w:r>
                </w:p>
              </w:tc>
            </w:tr>
          </w:tbl>
          <w:p w14:paraId="26FFAF59">
            <w:pPr>
              <w:pStyle w:val="11"/>
              <w:numPr>
                <w:ilvl w:val="0"/>
                <w:numId w:val="3"/>
              </w:numPr>
              <w:snapToGrid w:val="0"/>
              <w:spacing w:before="62" w:after="62" w:line="560" w:lineRule="exact"/>
              <w:ind w:firstLineChars="0"/>
              <w:outlineLvl w:val="0"/>
              <w:rPr>
                <w:rFonts w:hint="eastAsia" w:ascii="黑体" w:hAnsi="黑体" w:eastAsia="黑体" w:cs="黑体"/>
                <w:sz w:val="24"/>
                <w:szCs w:val="24"/>
              </w:rPr>
            </w:pPr>
            <w:r>
              <w:rPr>
                <w:rFonts w:hint="eastAsia" w:ascii="黑体" w:hAnsi="黑体" w:eastAsia="黑体" w:cs="黑体"/>
                <w:sz w:val="24"/>
                <w:szCs w:val="24"/>
              </w:rPr>
              <w:t>完成时间</w:t>
            </w:r>
          </w:p>
          <w:p w14:paraId="39F6BADB">
            <w:pPr>
              <w:snapToGrid w:val="0"/>
              <w:spacing w:before="62" w:after="62" w:line="560" w:lineRule="exact"/>
              <w:ind w:left="240" w:firstLine="0" w:firstLineChars="0"/>
              <w:outlineLvl w:val="0"/>
              <w:rPr>
                <w:rFonts w:hint="eastAsia" w:ascii="仿宋" w:hAnsi="仿宋" w:eastAsia="仿宋" w:cs="仿宋"/>
                <w:sz w:val="24"/>
                <w:szCs w:val="30"/>
              </w:rPr>
            </w:pPr>
            <w:r>
              <w:rPr>
                <w:rFonts w:hint="eastAsia" w:ascii="仿宋" w:hAnsi="仿宋" w:eastAsia="仿宋" w:cs="仿宋"/>
                <w:sz w:val="24"/>
                <w:szCs w:val="30"/>
              </w:rPr>
              <w:t>启动阶段（赛后1个月内）：成立资源转化小组，完成分工与框架设计。</w:t>
            </w:r>
          </w:p>
          <w:p w14:paraId="496B2F03">
            <w:pPr>
              <w:snapToGrid w:val="0"/>
              <w:spacing w:before="62" w:after="62" w:line="560" w:lineRule="exact"/>
              <w:ind w:left="240" w:firstLine="0" w:firstLineChars="0"/>
              <w:outlineLvl w:val="0"/>
              <w:rPr>
                <w:rFonts w:hint="eastAsia" w:ascii="仿宋" w:hAnsi="仿宋" w:eastAsia="仿宋" w:cs="仿宋"/>
                <w:sz w:val="24"/>
                <w:szCs w:val="30"/>
              </w:rPr>
            </w:pPr>
            <w:r>
              <w:rPr>
                <w:rFonts w:hint="eastAsia" w:ascii="仿宋" w:hAnsi="仿宋" w:eastAsia="仿宋" w:cs="仿宋"/>
                <w:sz w:val="24"/>
                <w:szCs w:val="30"/>
              </w:rPr>
              <w:t>开发阶段（3个月）：基本资源（宣传片、技术文档、教学方案）完成。拓展资源（案例库、赛题库）完成70%。</w:t>
            </w:r>
          </w:p>
          <w:p w14:paraId="2FF75C8F">
            <w:pPr>
              <w:snapToGrid w:val="0"/>
              <w:spacing w:before="62" w:after="62" w:line="560" w:lineRule="exact"/>
              <w:ind w:left="240" w:firstLine="0" w:firstLineChars="0"/>
              <w:outlineLvl w:val="0"/>
              <w:rPr>
                <w:rFonts w:ascii="仿宋_GB2312" w:hAnsi="Arial Narrow" w:cs="Arial"/>
                <w:sz w:val="24"/>
                <w:szCs w:val="30"/>
              </w:rPr>
            </w:pPr>
            <w:r>
              <w:rPr>
                <w:rFonts w:hint="eastAsia" w:ascii="仿宋" w:hAnsi="仿宋" w:eastAsia="仿宋" w:cs="仿宋"/>
                <w:sz w:val="24"/>
                <w:szCs w:val="30"/>
              </w:rPr>
              <w:t>验收阶段（6个月内）：全部资源整合优化，提交组委会审核。</w:t>
            </w:r>
          </w:p>
        </w:tc>
      </w:tr>
    </w:tbl>
    <w:p w14:paraId="7712F7A8">
      <w:pPr>
        <w:spacing w:before="62" w:after="62"/>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Arial Narrow">
    <w:panose1 w:val="020B0606020202030204"/>
    <w:charset w:val="00"/>
    <w:family w:val="swiss"/>
    <w:pitch w:val="default"/>
    <w:sig w:usb0="00000287" w:usb1="00000800" w:usb2="00000000" w:usb3="00000000" w:csb0="2000009F" w:csb1="DFD7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C351F">
    <w:pPr>
      <w:pStyle w:val="2"/>
      <w:spacing w:before="48" w:after="4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E7790">
    <w:pPr>
      <w:pStyle w:val="2"/>
      <w:spacing w:before="48" w:after="4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77636">
    <w:pPr>
      <w:pStyle w:val="2"/>
      <w:spacing w:before="48" w:after="4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54310">
    <w:pPr>
      <w:pStyle w:val="3"/>
      <w:spacing w:before="48" w:after="4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E8733">
    <w:pPr>
      <w:pStyle w:val="3"/>
      <w:spacing w:before="48" w:after="4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60516">
    <w:pPr>
      <w:pStyle w:val="3"/>
      <w:spacing w:before="48" w:after="4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D5262"/>
    <w:multiLevelType w:val="multilevel"/>
    <w:tmpl w:val="06FD5262"/>
    <w:lvl w:ilvl="0" w:tentative="0">
      <w:start w:val="1"/>
      <w:numFmt w:val="japaneseCounting"/>
      <w:lvlText w:val="（%1）"/>
      <w:lvlJc w:val="left"/>
      <w:pPr>
        <w:ind w:left="960" w:hanging="720"/>
      </w:pPr>
      <w:rPr>
        <w:rFonts w:hint="default"/>
        <w:lang w:val="en-US"/>
      </w:r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1">
    <w:nsid w:val="10EE29C8"/>
    <w:multiLevelType w:val="multilevel"/>
    <w:tmpl w:val="10EE29C8"/>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1621B67"/>
    <w:multiLevelType w:val="multilevel"/>
    <w:tmpl w:val="41621B67"/>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5MmIxYzhmOTM0NjZiOGE0YzkzYjZlZGE4MzkzMjgifQ=="/>
  </w:docVars>
  <w:rsids>
    <w:rsidRoot w:val="226E773E"/>
    <w:rsid w:val="00046D78"/>
    <w:rsid w:val="0008624D"/>
    <w:rsid w:val="000C7B8E"/>
    <w:rsid w:val="000F5E1D"/>
    <w:rsid w:val="000F6811"/>
    <w:rsid w:val="001C7C5F"/>
    <w:rsid w:val="00212351"/>
    <w:rsid w:val="00214FEC"/>
    <w:rsid w:val="00240E5A"/>
    <w:rsid w:val="002475C1"/>
    <w:rsid w:val="002C0349"/>
    <w:rsid w:val="002D3DEB"/>
    <w:rsid w:val="00365ACC"/>
    <w:rsid w:val="003722EB"/>
    <w:rsid w:val="003815AD"/>
    <w:rsid w:val="00422800"/>
    <w:rsid w:val="00445329"/>
    <w:rsid w:val="004A014A"/>
    <w:rsid w:val="004D4BA2"/>
    <w:rsid w:val="00500546"/>
    <w:rsid w:val="00524E73"/>
    <w:rsid w:val="00551441"/>
    <w:rsid w:val="0057147E"/>
    <w:rsid w:val="005F0522"/>
    <w:rsid w:val="00622A51"/>
    <w:rsid w:val="00640906"/>
    <w:rsid w:val="00644A65"/>
    <w:rsid w:val="006A28BA"/>
    <w:rsid w:val="006E21C5"/>
    <w:rsid w:val="00727BE4"/>
    <w:rsid w:val="008B4000"/>
    <w:rsid w:val="008F0B98"/>
    <w:rsid w:val="00904AF2"/>
    <w:rsid w:val="00940ECD"/>
    <w:rsid w:val="009A10D6"/>
    <w:rsid w:val="009D5E4A"/>
    <w:rsid w:val="009E5787"/>
    <w:rsid w:val="00A52846"/>
    <w:rsid w:val="00AB663A"/>
    <w:rsid w:val="00AD73BB"/>
    <w:rsid w:val="00B54971"/>
    <w:rsid w:val="00B67CE7"/>
    <w:rsid w:val="00C170CB"/>
    <w:rsid w:val="00C31CF4"/>
    <w:rsid w:val="00C73EDD"/>
    <w:rsid w:val="00C84BD2"/>
    <w:rsid w:val="00CA502C"/>
    <w:rsid w:val="00CD1871"/>
    <w:rsid w:val="00CD59F5"/>
    <w:rsid w:val="00CF613C"/>
    <w:rsid w:val="00D16101"/>
    <w:rsid w:val="00DB0A29"/>
    <w:rsid w:val="00DB3402"/>
    <w:rsid w:val="00F734E3"/>
    <w:rsid w:val="0A002D53"/>
    <w:rsid w:val="108C2AD6"/>
    <w:rsid w:val="11517694"/>
    <w:rsid w:val="13F9734E"/>
    <w:rsid w:val="14553B57"/>
    <w:rsid w:val="152145A6"/>
    <w:rsid w:val="16212A8C"/>
    <w:rsid w:val="16A85B5C"/>
    <w:rsid w:val="174D6A4B"/>
    <w:rsid w:val="1F481119"/>
    <w:rsid w:val="20F64AC1"/>
    <w:rsid w:val="226E773E"/>
    <w:rsid w:val="25964400"/>
    <w:rsid w:val="2973086F"/>
    <w:rsid w:val="2BF54C2C"/>
    <w:rsid w:val="32C33F32"/>
    <w:rsid w:val="410B55A9"/>
    <w:rsid w:val="48BD3FB7"/>
    <w:rsid w:val="54C6762F"/>
    <w:rsid w:val="585A4540"/>
    <w:rsid w:val="62C71056"/>
    <w:rsid w:val="647150E5"/>
    <w:rsid w:val="683614E2"/>
    <w:rsid w:val="6FEC6995"/>
    <w:rsid w:val="720606DC"/>
    <w:rsid w:val="73931F94"/>
    <w:rsid w:val="76B15747"/>
    <w:rsid w:val="78676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20" w:beforeLines="20" w:after="20" w:afterLines="20" w:line="540" w:lineRule="exact"/>
      <w:ind w:firstLine="723" w:firstLineChars="200"/>
      <w:jc w:val="both"/>
    </w:pPr>
    <w:rPr>
      <w:rFonts w:ascii="Times New Roman" w:hAnsi="Times New Roman" w:eastAsia="仿宋_GB2312" w:cs="Times New Roman"/>
      <w:kern w:val="2"/>
      <w:sz w:val="32"/>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spacing w:line="240" w:lineRule="atLeast"/>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5">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7">
    <w:name w:val="Strong"/>
    <w:basedOn w:val="6"/>
    <w:qFormat/>
    <w:uiPriority w:val="22"/>
    <w:rPr>
      <w:b/>
      <w:bCs/>
    </w:rPr>
  </w:style>
  <w:style w:type="character" w:styleId="8">
    <w:name w:val="Hyperlink"/>
    <w:basedOn w:val="6"/>
    <w:qFormat/>
    <w:uiPriority w:val="0"/>
    <w:rPr>
      <w:color w:val="0000FF"/>
      <w:u w:val="single"/>
    </w:rPr>
  </w:style>
  <w:style w:type="character" w:customStyle="1" w:styleId="9">
    <w:name w:val="页眉 字符"/>
    <w:basedOn w:val="6"/>
    <w:link w:val="3"/>
    <w:qFormat/>
    <w:uiPriority w:val="0"/>
    <w:rPr>
      <w:rFonts w:ascii="Times New Roman" w:hAnsi="Times New Roman" w:eastAsia="仿宋_GB2312" w:cs="Times New Roman"/>
      <w:kern w:val="2"/>
      <w:sz w:val="18"/>
      <w:szCs w:val="18"/>
    </w:rPr>
  </w:style>
  <w:style w:type="character" w:customStyle="1" w:styleId="10">
    <w:name w:val="页脚 字符"/>
    <w:basedOn w:val="6"/>
    <w:link w:val="2"/>
    <w:qFormat/>
    <w:uiPriority w:val="0"/>
    <w:rPr>
      <w:rFonts w:ascii="Times New Roman" w:hAnsi="Times New Roman" w:eastAsia="仿宋_GB2312" w:cs="Times New Roman"/>
      <w:kern w:val="2"/>
      <w:sz w:val="18"/>
      <w:szCs w:val="18"/>
    </w:rPr>
  </w:style>
  <w:style w:type="paragraph" w:styleId="11">
    <w:name w:val="List Paragraph"/>
    <w:basedOn w:val="1"/>
    <w:qFormat/>
    <w:uiPriority w:val="99"/>
    <w:pPr>
      <w:ind w:firstLine="420"/>
    </w:pPr>
  </w:style>
  <w:style w:type="paragraph" w:customStyle="1" w:styleId="12">
    <w:name w:val="ds-markdown-paragraph"/>
    <w:basedOn w:val="1"/>
    <w:qFormat/>
    <w:uiPriority w:val="0"/>
    <w:pPr>
      <w:widowControl/>
      <w:spacing w:before="100" w:beforeLines="0" w:beforeAutospacing="1" w:after="100" w:afterLines="0" w:afterAutospacing="1" w:line="240" w:lineRule="auto"/>
      <w:ind w:firstLine="0" w:firstLineChars="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jpeg"/><Relationship Id="rId16" Type="http://schemas.openxmlformats.org/officeDocument/2006/relationships/image" Target="file:///\\192.168.134.10\Users\jerry\Library\Group%25252525252525252525252525252525252525252525252520Containers\UBF8T346G9.ms\WebArchiveCopyPasteTempFiles\com.microsoft.Word\page17image198558736" TargetMode="External"/><Relationship Id="rId15" Type="http://schemas.openxmlformats.org/officeDocument/2006/relationships/image" Target="media/image4.jpe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0A5A-86F7-4627-9FC0-EDCA1971B179}">
  <ds:schemaRefs/>
</ds:datastoreItem>
</file>

<file path=docProps/app.xml><?xml version="1.0" encoding="utf-8"?>
<Properties xmlns="http://schemas.openxmlformats.org/officeDocument/2006/extended-properties" xmlns:vt="http://schemas.openxmlformats.org/officeDocument/2006/docPropsVTypes">
  <Template>Normal</Template>
  <Pages>35</Pages>
  <Words>2547</Words>
  <Characters>2576</Characters>
  <Lines>452</Lines>
  <Paragraphs>392</Paragraphs>
  <TotalTime>12</TotalTime>
  <ScaleCrop>false</ScaleCrop>
  <LinksUpToDate>false</LinksUpToDate>
  <CharactersWithSpaces>2583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2025-08-24T10:04:00Z</dcterms:created>
  <dc:creator>bqq</dc:creator>
  <cp:lastModifiedBy>杨敏</cp:lastModifiedBy>
  <dcterms:modified xsi:type="dcterms:W3CDTF">2025-08-25T06:17:11Z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B08AFC8ACF72474CB5768185EFF7FF5D_13</vt:lpwstr>
  </property>
  <property fmtid="{D5CDD505-2E9C-101B-9397-08002B2CF9AE}" pid="4" name="KSOTemplateDocerSaveRecord">
    <vt:lpwstr>eyJoZGlkIjoiNmIzYWIwODI3ODQwNjBkOGQ5NjFhZTQ1NjcxZmEzZGUiLCJ1c2VySWQiOiIxNjY1NzQzODYwIn0=</vt:lpwstr>
  </property>
</Properties>
</file>